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on Form F-1, as amended (File No. 333-266050), Form F-1 (File No. 333-276505), and Form F-1 (File No. 333-279153),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22"/>
          <w:szCs w:val="22"/>
          <w:color w:val="auto"/>
        </w:rPr>
        <w:t>On May 28, 2024, Evaxion Biotech A/S (the “Company”), a clinical-stage TechBio company specializing in developing AI-Immunology™ powered vaccines, issued a press release titled "Evaxion Announces Business Update and First Quarter 2024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237"/>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0" w:type="dxa"/>
            <w:vAlign w:val="bottom"/>
          </w:tcPr>
          <w:p>
            <w:pPr>
              <w:spacing w:after="0"/>
              <w:rPr>
                <w:sz w:val="20"/>
                <w:szCs w:val="20"/>
                <w:color w:val="auto"/>
              </w:rPr>
            </w:pPr>
          </w:p>
        </w:tc>
      </w:tr>
      <w:tr>
        <w:trPr>
          <w:trHeight w:val="60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2024</w:t>
            </w:r>
          </w:p>
        </w:tc>
        <w:tc>
          <w:tcPr>
            <w:tcW w:w="2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First Quarter 2024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May 28, 2024 (GLOBE NEWSWIRE) -- Evaxion Biotech A/S (NASDAQ: EVAX) ("Evaxion" or the "Company"), a clinical-stage TechBio company specializing in developing AI-Immunology™ powered vaccines, provides business update and announces first quarter 2024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Since the 2023 full year financial results were released, the Company has continued to make progress on its three-pronged business model focusing on Targets, Pipeline, and Responders with a multi-partner approach. Key highlights include:</w:t>
      </w:r>
    </w:p>
    <w:p>
      <w:pPr>
        <w:spacing w:after="0" w:line="174"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22"/>
          <w:szCs w:val="22"/>
          <w:color w:val="auto"/>
        </w:rPr>
        <w:t xml:space="preserve">Recent publications in peer-reviewed journals, including </w:t>
      </w:r>
      <w:r>
        <w:rPr>
          <w:rFonts w:ascii="Times New Roman" w:cs="Times New Roman" w:eastAsia="Times New Roman" w:hAnsi="Times New Roman"/>
          <w:sz w:val="22"/>
          <w:szCs w:val="22"/>
          <w:i w:val="1"/>
          <w:iCs w:val="1"/>
          <w:color w:val="auto"/>
        </w:rPr>
        <w:t>Journal of Cellular Immunology, Journal for ImmunoTherapy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Cancer,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Frontiers in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Presentations at key scientific conferences, including World Vaccine Congress and Immuno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60"/>
        <w:spacing w:after="0" w:line="237" w:lineRule="auto"/>
        <w:rPr>
          <w:sz w:val="20"/>
          <w:szCs w:val="20"/>
          <w:color w:val="auto"/>
        </w:rPr>
      </w:pPr>
      <w:r>
        <w:rPr>
          <w:rFonts w:ascii="Times New Roman" w:cs="Times New Roman" w:eastAsia="Times New Roman" w:hAnsi="Times New Roman"/>
          <w:sz w:val="22"/>
          <w:szCs w:val="22"/>
          <w:color w:val="auto"/>
        </w:rPr>
        <w:t>Conclusion of final EVX-B1 antigen MTA study with potential partner. Discussions around path forward ongoing Announcement of upcoming EVX-01 Phase 2 data presentation at the annual ASCO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Christian Kanstrup, Chief Executive Officer at Evaxion, commented: “Only a couple of months has passed since we released our 2023 full year financial results on March 27, and I am incredibly pleased with the progress we have seen in our strategy execution. The strong external interest in our AI-Immunology™ platform and our capabilities in vaccine discovery, design, and development, particularly following our R&amp;D Day in March this year, is truly rewarding. I am confident that our multi-partner approach will allow for strong value generation. We look forward to further advancing ongoing discussions around our AI-Immunology™ platform and pipeline assets and anticipate several important events ahead that will drive value generation.”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Anticipated 2024 Milestones</w:t>
            </w:r>
          </w:p>
        </w:tc>
        <w:tc>
          <w:tcPr>
            <w:tcW w:w="4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49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Milestones</w:t>
            </w:r>
          </w:p>
        </w:tc>
        <w:tc>
          <w:tcPr>
            <w:tcW w:w="9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Target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auto"/>
              <w:right w:val="single" w:sz="8" w:color="auto"/>
            </w:tcBorders>
          </w:tcPr>
          <w:p>
            <w:pPr>
              <w:spacing w:after="0"/>
              <w:rPr>
                <w:sz w:val="23"/>
                <w:szCs w:val="23"/>
                <w:color w:val="auto"/>
              </w:rPr>
            </w:pPr>
          </w:p>
        </w:tc>
        <w:tc>
          <w:tcPr>
            <w:tcW w:w="4960" w:type="dxa"/>
            <w:vAlign w:val="bottom"/>
            <w:tcBorders>
              <w:bottom w:val="single" w:sz="8" w:color="auto"/>
            </w:tcBorders>
            <w:vMerge w:val="continue"/>
          </w:tcPr>
          <w:p>
            <w:pPr>
              <w:spacing w:after="0"/>
              <w:rPr>
                <w:sz w:val="23"/>
                <w:szCs w:val="23"/>
                <w:color w:val="auto"/>
              </w:rPr>
            </w:pPr>
          </w:p>
        </w:tc>
        <w:tc>
          <w:tcPr>
            <w:tcW w:w="94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tcBorders>
            <w:gridSpan w:val="2"/>
            <w:vMerge w:val="continue"/>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EVX-B1</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Conclusion of final MTA study with potential partner</w:t>
            </w: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w w:val="96"/>
              </w:rPr>
              <w:t>Q1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2024</w:t>
            </w:r>
          </w:p>
        </w:tc>
        <w:tc>
          <w:tcPr>
            <w:tcW w:w="860" w:type="dxa"/>
            <w:vAlign w:val="bottom"/>
            <w:tcBorders>
              <w:bottom w:val="single" w:sz="8" w:color="auto"/>
            </w:tcBorders>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AI-Immunology™</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Launch of EDEN™ model version 5.0</w:t>
            </w:r>
          </w:p>
        </w:tc>
        <w:tc>
          <w:tcPr>
            <w:tcW w:w="94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Mid 2024</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EVX-B2-mRNA</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w w:val="98"/>
              </w:rPr>
              <w:t>EVX-B2-mRNA preclinical Proof-of-Concept obtained</w:t>
            </w:r>
          </w:p>
        </w:tc>
        <w:tc>
          <w:tcPr>
            <w:tcW w:w="94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w w:val="96"/>
              </w:rPr>
              <w:t>Q3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2024</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EVX-01</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Phase 2 one-year readout</w:t>
            </w:r>
          </w:p>
        </w:tc>
        <w:tc>
          <w:tcPr>
            <w:tcW w:w="94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w w:val="96"/>
              </w:rPr>
              <w:t>Q3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2024</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tcBorders>
              <w:right w:val="single" w:sz="8" w:color="auto"/>
            </w:tcBorders>
          </w:tcPr>
          <w:p>
            <w:pPr>
              <w:spacing w:after="0"/>
              <w:rPr>
                <w:sz w:val="19"/>
                <w:szCs w:val="19"/>
                <w:color w:val="auto"/>
              </w:rPr>
            </w:pPr>
          </w:p>
        </w:tc>
        <w:tc>
          <w:tcPr>
            <w:tcW w:w="4960" w:type="dxa"/>
            <w:vAlign w:val="bottom"/>
          </w:tcPr>
          <w:p>
            <w:pPr>
              <w:ind w:left="140"/>
              <w:spacing w:after="0" w:line="223" w:lineRule="exact"/>
              <w:rPr>
                <w:sz w:val="20"/>
                <w:szCs w:val="20"/>
                <w:color w:val="auto"/>
              </w:rPr>
            </w:pPr>
            <w:r>
              <w:rPr>
                <w:rFonts w:ascii="Times New Roman" w:cs="Times New Roman" w:eastAsia="Times New Roman" w:hAnsi="Times New Roman"/>
                <w:sz w:val="22"/>
                <w:szCs w:val="22"/>
                <w:color w:val="auto"/>
              </w:rPr>
              <w:t>Conclusion  of  target  discovery  and  validation</w:t>
            </w:r>
          </w:p>
        </w:tc>
        <w:tc>
          <w:tcPr>
            <w:tcW w:w="9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work  in</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EVX-B3</w:t>
            </w:r>
          </w:p>
        </w:tc>
        <w:tc>
          <w:tcPr>
            <w:tcW w:w="49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collaboration with MSD (tradename of Merck &amp;</w:t>
            </w:r>
          </w:p>
        </w:tc>
        <w:tc>
          <w:tcPr>
            <w:tcW w:w="9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 Inc.,</w:t>
            </w:r>
          </w:p>
        </w:tc>
        <w:tc>
          <w:tcPr>
            <w:tcW w:w="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H2 2024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Rahway, NJ, USA)</w:t>
            </w: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Precision ERV cancer vaccines</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Preclinical Proof-of-Concept obtained</w:t>
            </w:r>
          </w:p>
        </w:tc>
        <w:tc>
          <w:tcPr>
            <w:tcW w:w="94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w w:val="96"/>
              </w:rPr>
              <w:t>H2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2024</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Ambition for full year 2024 is to generate business development</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Funding</w:t>
            </w:r>
          </w:p>
        </w:tc>
        <w:tc>
          <w:tcPr>
            <w:tcW w:w="5900" w:type="dxa"/>
            <w:vAlign w:val="bottom"/>
            <w:tcBorders>
              <w:right w:val="single" w:sz="8" w:color="auto"/>
            </w:tcBorders>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income equal to 2024 cash burn (excluding financing activities)</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of $14 million*</w:t>
            </w: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22"/>
          <w:szCs w:val="22"/>
          <w:color w:val="auto"/>
        </w:rPr>
        <w:t>*No assurances can be made that we will generate such business development income</w:t>
      </w:r>
    </w:p>
    <w:p>
      <w:pPr>
        <w:spacing w:after="0" w:line="200" w:lineRule="exact"/>
        <w:rPr>
          <w:sz w:val="20"/>
          <w:szCs w:val="20"/>
          <w:color w:val="auto"/>
        </w:rPr>
      </w:pPr>
    </w:p>
    <w:p>
      <w:pPr>
        <w:spacing w:after="0" w:line="276"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color w:val="auto"/>
        </w:rPr>
        <w:t>On May 7, 2024, the Company received a Nasdaq equity deficiency letter. This deficiency is partly a consequence of the IFRS accounting treatment of the Company’s investor warrants requiring treating these as a derivative liability, hence reducing shareholder’s equity. The derivative liability treatment is the result of the Company’s investor warrant’s exercise price being in USD while the Company’s share capital is in DKK. As communicated on May 24, the Company has subsequently agreed with the investor warrant holders from the February public offering to convert the exercise price from USD into DKK. This has eliminated the derivative liability resulting from the February public offering investor warrants. It’s the Company’s intention to execute a similar investor warrant exercise price currency conversion for the investor warrants from the December private placement, although no assurances can be made.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2024 Financial Results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Cash position as of March 31, 2024, was $11.7 million, as compared to $5.6 million as of December 31, 2023. Operating spending for the first quarter of 2024 was offset by proceeds from the capital raise and exercise of warrants of $11.6 million, including the public offering completed in February with the participation of MSD Global Health Innovation Fund (MSD GHI). The Company expects that its existing cash and cash equivalents will be sufficient to fund its operating expenses and capital expenditure requirements into Q1 2025.</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Research and Development expenses were $2.8 million for the quarter ended March 31, 2024, compared to $3.9 million for the quarter ended March 31, 2023. The decrease was primarily due to a reduction in headcount and refocused expenses in 2023, offset by an increase in external costs related to research activities in general.</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General and Administrative expenses were $1.6 million for the quarter ended March 31, 2024, compared to $2.5 million for the quarter ended March 31, 2023. The decrease was primarily due to a reduction in external expenses for preparing for equity financing. Expenses related to the public offering closed in February 2024 are recognized at equity as transaction costs.</w:t>
      </w:r>
    </w:p>
    <w:p>
      <w:pPr>
        <w:sectPr>
          <w:pgSz w:w="11900" w:h="16838" w:orient="portrait"/>
          <w:cols w:equalWidth="0" w:num="1">
            <w:col w:w="11240"/>
          </w:cols>
          <w:pgMar w:left="320" w:top="108" w:right="339" w:bottom="229"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color w:val="auto"/>
        </w:rPr>
        <w:t>Net income of $1.2 million for the quarter ended March 31, 2024, or $0.03 per basic and diluted share, as compared to a net loss of $6.2 million, or $(0.24) per basic and diluted share for the quarter ended March 31, 2023. The improvement in net income was driven by the remeasurement of $5.4 million of derivative liabilities as income arising from the issuance of warrants associated with the December 2023 private placement and February 2024 public offering transactions. This is aligned with the required treatment according to IAS/IFRS, as further explained below.</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Total equity of $2.6 million on March 31, 2024, was negatively impacted by a $2.9 million liability arising from the effect of derivative liabilities from investor warrants issued as part of our December 2023 private placement and February 2024 public offering. According to IAS/IFRS, the investor warrants are seen as derivative instruments, as the exercise price is denominated in USD while our company’s functional currency is DKK. Part of the proceeds from capital raises are consequently recognized as derivative liabilities. Reassessments are disclosed as financial income/expense and reverted to equity when warrants are exercised or lapse. The derivative liability from investor warrants has no impact on other items in the financial statements, which is why the Company discloses the impact as a separate equity item. Following the agreement to convert the exercise price from USD into DKK to eliminate the derivative liability resulting from the February public offering investor warrants the effect from the public offering part will be reversed in Q2 2024 and will thereby not impact the accounts going forward.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Financial Position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Mar 31,</w:t>
            </w:r>
          </w:p>
        </w:tc>
        <w:tc>
          <w:tcPr>
            <w:tcW w:w="340" w:type="dxa"/>
            <w:vAlign w:val="bottom"/>
          </w:tcPr>
          <w:p>
            <w:pPr>
              <w:spacing w:after="0"/>
              <w:rPr>
                <w:sz w:val="22"/>
                <w:szCs w:val="22"/>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7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64"/>
        </w:trPr>
        <w:tc>
          <w:tcPr>
            <w:tcW w:w="7600" w:type="dxa"/>
            <w:vAlign w:val="bottom"/>
            <w:vMerge w:val="continue"/>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11,731</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5,583</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22,654</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20,050</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17,618</w:t>
            </w:r>
          </w:p>
        </w:tc>
        <w:tc>
          <w:tcPr>
            <w:tcW w:w="0" w:type="dxa"/>
            <w:vAlign w:val="bottom"/>
          </w:tcPr>
          <w:p>
            <w:pPr>
              <w:spacing w:after="0"/>
              <w:rPr>
                <w:sz w:val="1"/>
                <w:szCs w:val="1"/>
                <w:color w:val="auto"/>
              </w:rPr>
            </w:pPr>
          </w:p>
        </w:tc>
      </w:tr>
      <w:tr>
        <w:trPr>
          <w:trHeight w:val="250"/>
        </w:trPr>
        <w:tc>
          <w:tcPr>
            <w:tcW w:w="76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Share capital</w:t>
            </w:r>
          </w:p>
        </w:tc>
        <w:tc>
          <w:tcPr>
            <w:tcW w:w="340" w:type="dxa"/>
            <w:vAlign w:val="bottom"/>
          </w:tcPr>
          <w:p>
            <w:pPr>
              <w:spacing w:after="0"/>
              <w:rPr>
                <w:sz w:val="21"/>
                <w:szCs w:val="21"/>
                <w:color w:val="auto"/>
              </w:rPr>
            </w:pPr>
          </w:p>
        </w:tc>
        <w:tc>
          <w:tcPr>
            <w:tcW w:w="14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7,964</w:t>
            </w:r>
          </w:p>
        </w:tc>
        <w:tc>
          <w:tcPr>
            <w:tcW w:w="340" w:type="dxa"/>
            <w:vAlign w:val="bottom"/>
          </w:tcPr>
          <w:p>
            <w:pPr>
              <w:spacing w:after="0"/>
              <w:rPr>
                <w:sz w:val="21"/>
                <w:szCs w:val="21"/>
                <w:color w:val="auto"/>
              </w:rPr>
            </w:pPr>
          </w:p>
        </w:tc>
        <w:tc>
          <w:tcPr>
            <w:tcW w:w="14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5,899</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Other reserves</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109,602</w:t>
            </w:r>
          </w:p>
        </w:tc>
        <w:tc>
          <w:tcPr>
            <w:tcW w:w="3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99,946</w:t>
            </w:r>
          </w:p>
        </w:tc>
        <w:tc>
          <w:tcPr>
            <w:tcW w:w="0" w:type="dxa"/>
            <w:vAlign w:val="bottom"/>
          </w:tcPr>
          <w:p>
            <w:pPr>
              <w:spacing w:after="0"/>
              <w:rPr>
                <w:sz w:val="1"/>
                <w:szCs w:val="1"/>
                <w:color w:val="auto"/>
              </w:rPr>
            </w:pPr>
          </w:p>
        </w:tc>
      </w:t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(112,033)</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(107,860)</w:t>
            </w:r>
          </w:p>
        </w:tc>
        <w:tc>
          <w:tcPr>
            <w:tcW w:w="0" w:type="dxa"/>
            <w:vAlign w:val="bottom"/>
          </w:tcPr>
          <w:p>
            <w:pPr>
              <w:spacing w:after="0"/>
              <w:rPr>
                <w:sz w:val="1"/>
                <w:szCs w:val="1"/>
                <w:color w:val="auto"/>
              </w:rPr>
            </w:pPr>
          </w:p>
        </w:tc>
      </w:tr>
      <w:tr>
        <w:trPr>
          <w:trHeight w:val="265"/>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5,533</w:t>
            </w:r>
          </w:p>
        </w:tc>
        <w:tc>
          <w:tcPr>
            <w:tcW w:w="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(2,015)</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(2.929)</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(2,714)</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2,604</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(4,729)</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22,654</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Based on the Company’s current cash position with an expected cash runway into Q1 2025, income from Business Development deals and/or further funding is required to mitigate management’s conclusion that there is significant doubt about the Company’s ability to continue as a going concern. Please refer to the Form 20-F, filed March 27, 2024, for additional background on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Comprehensive Loss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 except per share data)</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200" w:type="dxa"/>
            <w:vAlign w:val="bottom"/>
          </w:tcPr>
          <w:p>
            <w:pPr>
              <w:spacing w:after="0"/>
              <w:rPr>
                <w:sz w:val="21"/>
                <w:szCs w:val="21"/>
                <w:color w:val="auto"/>
              </w:rPr>
            </w:pPr>
          </w:p>
        </w:tc>
        <w:tc>
          <w:tcPr>
            <w:tcW w:w="3360" w:type="dxa"/>
            <w:vAlign w:val="bottom"/>
            <w:gridSpan w:val="4"/>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660" w:type="dxa"/>
            <w:vAlign w:val="bottom"/>
          </w:tcPr>
          <w:p>
            <w:pPr>
              <w:spacing w:after="0"/>
              <w:rPr>
                <w:sz w:val="21"/>
                <w:szCs w:val="21"/>
                <w:color w:val="auto"/>
              </w:rPr>
            </w:pPr>
          </w:p>
        </w:tc>
      </w:tr>
      <w:tr>
        <w:trPr>
          <w:trHeight w:val="286"/>
        </w:trPr>
        <w:tc>
          <w:tcPr>
            <w:tcW w:w="7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gridSpan w:val="3"/>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660" w:type="dxa"/>
            <w:vAlign w:val="bottom"/>
          </w:tcPr>
          <w:p>
            <w:pPr>
              <w:spacing w:after="0"/>
              <w:rPr>
                <w:sz w:val="24"/>
                <w:szCs w:val="24"/>
                <w:color w:val="auto"/>
              </w:rPr>
            </w:pPr>
          </w:p>
        </w:tc>
      </w:tr>
      <w:tr>
        <w:trPr>
          <w:trHeight w:val="245"/>
        </w:trPr>
        <w:tc>
          <w:tcPr>
            <w:tcW w:w="72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263"/>
        </w:trPr>
        <w:tc>
          <w:tcPr>
            <w:tcW w:w="72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c>
          <w:tcPr>
            <w:tcW w:w="6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2023</w:t>
            </w:r>
          </w:p>
        </w:tc>
        <w:tc>
          <w:tcPr>
            <w:tcW w:w="660" w:type="dxa"/>
            <w:vAlign w:val="bottom"/>
            <w:tcBorders>
              <w:bottom w:val="single" w:sz="8" w:color="auto"/>
            </w:tcBorders>
          </w:tcPr>
          <w:p>
            <w:pPr>
              <w:spacing w:after="0"/>
              <w:rPr>
                <w:sz w:val="22"/>
                <w:szCs w:val="22"/>
                <w:color w:val="auto"/>
              </w:rPr>
            </w:pPr>
          </w:p>
        </w:tc>
      </w:tr>
      <w:tr>
        <w:trPr>
          <w:trHeight w:val="790"/>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12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00" w:type="dxa"/>
            <w:vAlign w:val="bottom"/>
          </w:tcPr>
          <w:p>
            <w:pPr>
              <w:spacing w:after="0"/>
              <w:rPr>
                <w:sz w:val="24"/>
                <w:szCs w:val="24"/>
                <w:color w:val="auto"/>
              </w:rPr>
            </w:pPr>
          </w:p>
        </w:tc>
        <w:tc>
          <w:tcPr>
            <w:tcW w:w="12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Research and development</w:t>
            </w:r>
          </w:p>
        </w:tc>
        <w:tc>
          <w:tcPr>
            <w:tcW w:w="1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(2,836)</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(3,852)</w:t>
            </w:r>
          </w:p>
        </w:tc>
      </w:tr>
      <w:tr>
        <w:trPr>
          <w:trHeight w:val="283"/>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6"/>
              </w:rPr>
              <w:t>(1,611)</w:t>
            </w:r>
          </w:p>
        </w:tc>
        <w:tc>
          <w:tcPr>
            <w:tcW w:w="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6"/>
              </w:rPr>
              <w:t>(2,452)</w:t>
            </w:r>
          </w:p>
        </w:tc>
      </w:tr>
      <w:tr>
        <w:trPr>
          <w:trHeight w:val="520"/>
        </w:trPr>
        <w:tc>
          <w:tcPr>
            <w:tcW w:w="7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(4,396)</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(6,525)</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Finance income</w:t>
            </w:r>
          </w:p>
        </w:tc>
        <w:tc>
          <w:tcPr>
            <w:tcW w:w="1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5,618</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w:t>
            </w:r>
          </w:p>
        </w:tc>
      </w:tr>
      <w:tr>
        <w:trPr>
          <w:trHeight w:val="283"/>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Finance expenses</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(326)</w:t>
            </w:r>
          </w:p>
        </w:tc>
      </w:tr>
      <w:tr>
        <w:trPr>
          <w:trHeight w:val="533"/>
        </w:trPr>
        <w:tc>
          <w:tcPr>
            <w:tcW w:w="7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12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976</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(6,435)</w:t>
            </w:r>
          </w:p>
        </w:tc>
      </w:tr>
      <w:tr>
        <w:trPr>
          <w:trHeight w:val="533"/>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218</w:t>
            </w:r>
          </w:p>
        </w:tc>
        <w:tc>
          <w:tcPr>
            <w:tcW w:w="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534"/>
        </w:trPr>
        <w:tc>
          <w:tcPr>
            <w:tcW w:w="7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result for the period</w:t>
            </w:r>
          </w:p>
        </w:tc>
        <w:tc>
          <w:tcPr>
            <w:tcW w:w="12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1,194</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(6,241)</w:t>
            </w:r>
          </w:p>
        </w:tc>
      </w:tr>
    </w:tbl>
    <w:p>
      <w:pPr>
        <w:sectPr>
          <w:pgSz w:w="11900" w:h="16838" w:orient="portrait"/>
          <w:cols w:equalWidth="0" w:num="1">
            <w:col w:w="11240"/>
          </w:cols>
          <w:pgMar w:left="320" w:top="112" w:right="339" w:bottom="1" w:gutter="0" w:footer="0" w:header="0"/>
        </w:sectPr>
      </w:pPr>
    </w:p>
    <w:bookmarkStart w:id="5" w:name="page6"/>
    <w:bookmarkEnd w:id="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7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result attributable to shareholders of Evaxion Biotech A/S</w:t>
            </w:r>
          </w:p>
        </w:tc>
        <w:tc>
          <w:tcPr>
            <w:tcW w:w="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1,194</w:t>
            </w:r>
          </w:p>
        </w:tc>
        <w:tc>
          <w:tcPr>
            <w:tcW w:w="200" w:type="dxa"/>
            <w:vAlign w:val="bottom"/>
          </w:tcPr>
          <w:p>
            <w:pPr>
              <w:spacing w:after="0"/>
              <w:rPr>
                <w:sz w:val="24"/>
                <w:szCs w:val="24"/>
                <w:color w:val="auto"/>
              </w:rPr>
            </w:pPr>
          </w:p>
        </w:tc>
        <w:tc>
          <w:tcPr>
            <w:tcW w:w="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(6,241)</w:t>
            </w:r>
          </w:p>
        </w:tc>
      </w:tr>
      <w:tr>
        <w:trPr>
          <w:trHeight w:val="21"/>
        </w:trPr>
        <w:tc>
          <w:tcPr>
            <w:tcW w:w="7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20"/>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Profit/loss per share – basic and diluted</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200" w:type="dxa"/>
            <w:vAlign w:val="bottom"/>
          </w:tcPr>
          <w:p>
            <w:pPr>
              <w:spacing w:after="0"/>
              <w:rPr>
                <w:sz w:val="24"/>
                <w:szCs w:val="24"/>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(0.24)</w:t>
            </w:r>
          </w:p>
        </w:tc>
      </w:tr>
      <w:tr>
        <w:trPr>
          <w:trHeight w:val="282"/>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 used for calculation (basic and diluted)</w:t>
            </w:r>
          </w:p>
        </w:tc>
        <w:tc>
          <w:tcPr>
            <w:tcW w:w="5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46,638,239</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25,783,847</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w:t>
      </w:r>
      <w:r>
        <w:rPr>
          <w:rFonts w:ascii="Times New Roman" w:cs="Times New Roman" w:eastAsia="Times New Roman" w:hAnsi="Times New Roman"/>
          <w:sz w:val="22"/>
          <w:szCs w:val="22"/>
          <w:u w:val="single" w:color="auto"/>
          <w:color w:val="auto"/>
        </w:rPr>
        <w:t>visit our website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ongoing COVID-19 pandemic and the ongoing conflict in the region surrounding Ukraine and Russia and the Middle East;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1"/>
          <w:szCs w:val="21"/>
          <w:b w:val="1"/>
          <w:bCs w:val="1"/>
          <w:color w:val="auto"/>
        </w:rPr>
        <w:t>www.sec.gov</w:t>
      </w:r>
      <w:r>
        <w:rPr>
          <w:rFonts w:ascii="Times New Roman" w:cs="Times New Roman" w:eastAsia="Times New Roman" w:hAnsi="Times New Roman"/>
          <w:sz w:val="21"/>
          <w:szCs w:val="21"/>
          <w:color w:val="auto"/>
        </w:rPr>
        <w:t>. We do not assume any obligation to update any forward-looking statements except as required by law.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230" w:lineRule="auto"/>
        <w:rPr>
          <w:sz w:val="20"/>
          <w:szCs w:val="20"/>
          <w:color w:val="auto"/>
        </w:rPr>
      </w:pPr>
      <w:r>
        <w:rPr>
          <w:rFonts w:ascii="Times New Roman" w:cs="Times New Roman" w:eastAsia="Times New Roman" w:hAnsi="Times New Roman"/>
          <w:sz w:val="22"/>
          <w:szCs w:val="22"/>
          <w:color w:val="auto"/>
        </w:rPr>
        <w:t>Christian Kanstrup</w:t>
      </w:r>
    </w:p>
    <w:p>
      <w:pPr>
        <w:spacing w:after="0" w:line="231" w:lineRule="auto"/>
        <w:rPr>
          <w:sz w:val="20"/>
          <w:szCs w:val="20"/>
          <w:color w:val="auto"/>
        </w:rPr>
      </w:pPr>
      <w:r>
        <w:rPr>
          <w:rFonts w:ascii="Times New Roman" w:cs="Times New Roman" w:eastAsia="Times New Roman" w:hAnsi="Times New Roman"/>
          <w:sz w:val="22"/>
          <w:szCs w:val="22"/>
          <w:color w:val="auto"/>
        </w:rPr>
        <w:t>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cka@evaxion-biotech.com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Evaxion Biotech</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2024-05-28T08:34:54Z</dcterms:created>
  <dcterms:modified xsi:type="dcterms:W3CDTF">2024-05-28T08:34:54Z</dcterms:modified>
</cp:coreProperties>
</file>