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73026.htm"/>
      <w:bookmarkStart w:id="1" w:name="ksf6k_0730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August 2026</w:t>
      </w:r>
    </w:p>
    <w:p>
      <w:pPr>
        <w:pStyle w:val="TextBody"/>
        <w:bidi w:val="0"/>
        <w:jc w:val="center"/>
        <w:rPr/>
      </w:pPr>
      <w:r>
        <w:rPr/>
        <w:t xml:space="preserve">Commission File Number: </w:t>
      </w:r>
      <w:r>
        <w:rPr>
          <w:rStyle w:val="StrongEmphasis"/>
        </w:rPr>
        <w:t>001-39950</w:t>
      </w:r>
    </w:p>
    <w:p>
      <w:pPr>
        <w:pStyle w:val="TextBody"/>
        <w:bidi w:val="0"/>
        <w:jc w:val="center"/>
        <w:rPr/>
      </w:pPr>
      <w:r>
        <w:rPr>
          <w:rStyle w:val="StrongEmphasis"/>
          <w:sz w:val="24"/>
        </w:rPr>
        <w:t>Evaxion A/S</w:t>
      </w:r>
      <w:r>
        <w:rPr/>
        <w:br/>
        <w:t>(Exact Name of Registrant as Specified in Its Charter)</w:t>
      </w:r>
    </w:p>
    <w:p>
      <w:pPr>
        <w:pStyle w:val="TextBody"/>
        <w:bidi w:val="0"/>
        <w:jc w:val="center"/>
        <w:rPr/>
      </w:pPr>
      <w:r>
        <w:rPr>
          <w:rStyle w:val="StrongEmphasis"/>
        </w:rPr>
        <w:t>Dr. Neergaards Vej 5f</w:t>
        <w:br/>
        <w:t>DK-2970 Hoersholm</w:t>
        <w:br/>
        <w:t>Denmark</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r>
    </w:p>
    <w:p>
      <w:pPr>
        <w:pStyle w:val="TextBody"/>
        <w:bidi w:val="0"/>
        <w:jc w:val="center"/>
        <w:rPr/>
      </w:pPr>
      <w:r>
        <w:rPr/>
        <w:t>Form 20-F [ X ]      Form 40-F [   ]</w:t>
      </w:r>
    </w:p>
    <w:p>
      <w:pPr>
        <w:pStyle w:val="HorizontalLine"/>
        <w:pBdr>
          <w:bottom w:val="single" w:sz="12" w:space="0" w:color="808080"/>
        </w:pBdr>
        <w:bidi w:val="0"/>
        <w:jc w:val="left"/>
        <w:rPr/>
      </w:pPr>
      <w:r>
        <w:rPr/>
      </w:r>
    </w:p>
    <w:p>
      <w:pPr>
        <w:pStyle w:val="TextBody"/>
        <w:bidi w:val="0"/>
        <w:jc w:val="center"/>
        <w:rPr/>
      </w:pPr>
      <w:r>
        <w:rPr>
          <w:rStyle w:val="StrongEmphasis"/>
        </w:rPr>
        <w:t>INCORPORATION BY REFERENCE</w:t>
      </w:r>
    </w:p>
    <w:p>
      <w:pPr>
        <w:pStyle w:val="TextBody"/>
        <w:bidi w:val="0"/>
        <w:spacing w:before="0" w:after="283"/>
        <w:jc w:val="left"/>
        <w:rPr/>
      </w:pPr>
      <w:r>
        <w:rPr/>
        <w:t>This report on Form 6-K shall be deemed to be incorporated by reference in Evaxion A/S’s registration statements on Form S-8 (File No. 333-255064), on Form F-3 (File No. 333-265132), on Form F-1, as amended (File No. 333-266050), Form F-1 (File No. 333-276505), Form F-1 (File No. 333-279153), Form F-1 (File No. 333-283304), and Form F-3 (File No. 333- 285778), including any prospectuses forming a part of such registration statements and to be a part thereof from the date on which this report is filed, to the extent not superseded by documents or reports subsequently filed or furnished.</w:t>
      </w:r>
    </w:p>
    <w:p>
      <w:pPr>
        <w:pStyle w:val="TextBody"/>
        <w:bidi w:val="0"/>
        <w:spacing w:before="0" w:after="283"/>
        <w:jc w:val="left"/>
        <w:rPr/>
      </w:pPr>
      <w:r>
        <w:rPr>
          <w:rStyle w:val="StrongEmphasis"/>
        </w:rPr>
        <w:t>Press Release</w:t>
      </w:r>
    </w:p>
    <w:p>
      <w:pPr>
        <w:pStyle w:val="TextBody"/>
        <w:bidi w:val="0"/>
        <w:spacing w:before="0" w:after="283"/>
        <w:jc w:val="left"/>
        <w:rPr/>
      </w:pPr>
      <w:r>
        <w:rPr/>
        <w:t>On August 14, 2026, Evaxion A/S (the “Company”), a clinical-stage TechBio company specializing in developing AI-Immunology™ powered vaccines, issued a press release titled "Evaxion to announce business update and second quarter 2026 financial results on August 20, 2026". A copy of the press release is furnished as Exhibit 99.1 to this report on Form 6-K.</w:t>
      </w:r>
    </w:p>
    <w:p>
      <w:pPr>
        <w:pStyle w:val="TextBody"/>
        <w:bidi w:val="0"/>
        <w:jc w:val="left"/>
        <w:rPr/>
      </w:pPr>
      <w:r>
        <w:rPr>
          <w:rStyle w:val="StrongEmphasis"/>
          <w:sz w:val="20"/>
        </w:rPr>
        <w:t>Exhibits</w:t>
      </w:r>
      <w:r>
        <w:rPr/>
        <w:t xml:space="preserve">  </w:t>
      </w:r>
    </w:p>
    <w:tbl>
      <w:tblPr>
        <w:tblW w:w="9850" w:type="dxa"/>
        <w:jc w:val="left"/>
        <w:tblInd w:w="0" w:type="dxa"/>
        <w:tblLayout w:type="fixed"/>
        <w:tblCellMar>
          <w:top w:w="0" w:type="dxa"/>
          <w:left w:w="0" w:type="dxa"/>
          <w:bottom w:w="0" w:type="dxa"/>
          <w:right w:w="0" w:type="dxa"/>
        </w:tblCellMar>
      </w:tblPr>
      <w:tblGrid>
        <w:gridCol w:w="1385"/>
        <w:gridCol w:w="300"/>
        <w:gridCol w:w="8165"/>
      </w:tblGrid>
      <w:tr>
        <w:trPr/>
        <w:tc>
          <w:tcPr>
            <w:tcW w:w="1385" w:type="dxa"/>
            <w:tcBorders/>
            <w:vAlign w:val="bottom"/>
          </w:tcPr>
          <w:p>
            <w:pPr>
              <w:pStyle w:val="TableContents"/>
              <w:bidi w:val="0"/>
              <w:spacing w:before="0" w:after="283"/>
              <w:jc w:val="left"/>
              <w:rPr/>
            </w:pPr>
            <w:r>
              <w:rPr>
                <w:rStyle w:val="StrongEmphasis"/>
                <w:sz w:val="20"/>
                <w:u w:val="single"/>
              </w:rPr>
              <w:t>Exhibit Number</w:t>
            </w:r>
          </w:p>
        </w:tc>
        <w:tc>
          <w:tcPr>
            <w:tcW w:w="300" w:type="dxa"/>
            <w:tcBorders/>
            <w:vAlign w:val="center"/>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pPr>
            <w:r>
              <w:rPr>
                <w:rStyle w:val="StrongEmphasis"/>
                <w:sz w:val="20"/>
                <w:u w:val="single"/>
              </w:rPr>
              <w:t>Description</w:t>
            </w:r>
          </w:p>
        </w:tc>
      </w:tr>
      <w:tr>
        <w:trPr/>
        <w:tc>
          <w:tcPr>
            <w:tcW w:w="138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816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pPr>
            <w:hyperlink w:anchor="exh_991.htm">
              <w:r>
                <w:rPr>
                  <w:rStyle w:val="InternetLink"/>
                  <w:sz w:val="20"/>
                </w:rPr>
                <w:t>99.1</w:t>
              </w:r>
            </w:hyperlink>
          </w:p>
        </w:tc>
        <w:tc>
          <w:tcPr>
            <w:tcW w:w="300" w:type="dxa"/>
            <w:tcBorders/>
            <w:vAlign w:val="center"/>
          </w:tcPr>
          <w:p>
            <w:pPr>
              <w:pStyle w:val="TableContents"/>
              <w:bidi w:val="0"/>
              <w:spacing w:before="0" w:after="283"/>
              <w:jc w:val="left"/>
              <w:rPr/>
            </w:pPr>
            <w:r>
              <w:rPr/>
              <w:t> </w:t>
            </w:r>
          </w:p>
        </w:tc>
        <w:tc>
          <w:tcPr>
            <w:tcW w:w="8165" w:type="dxa"/>
            <w:tcBorders/>
            <w:vAlign w:val="center"/>
          </w:tcPr>
          <w:p>
            <w:pPr>
              <w:pStyle w:val="TableContents"/>
              <w:bidi w:val="0"/>
              <w:spacing w:before="0" w:after="283"/>
              <w:jc w:val="left"/>
              <w:rPr/>
            </w:pPr>
            <w:hyperlink w:anchor="exh_991.htm">
              <w:r>
                <w:rPr>
                  <w:rStyle w:val="InternetLink"/>
                  <w:sz w:val="20"/>
                </w:rPr>
                <w:t>Evaxion to announce business update and second quarter 2026 financial results on August 20, 2026</w:t>
              </w:r>
            </w:hyperlink>
            <w:r>
              <w:rPr>
                <w:sz w:val="20"/>
              </w:rPr>
              <w:t xml:space="preserve"> </w:t>
            </w:r>
          </w:p>
        </w:tc>
      </w:tr>
    </w:tbl>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612"/>
        <w:gridCol w:w="4185"/>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rStyle w:val="StrongEmphasis"/>
                <w:u w:val="single"/>
              </w:rPr>
              <w:t>Evaxion A/S</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August 14, 2026</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By:</w:t>
            </w:r>
          </w:p>
        </w:tc>
        <w:tc>
          <w:tcPr>
            <w:tcW w:w="4185" w:type="dxa"/>
            <w:tcBorders/>
          </w:tcPr>
          <w:p>
            <w:pPr>
              <w:pStyle w:val="TableContents"/>
              <w:bidi w:val="0"/>
              <w:spacing w:before="0" w:after="283"/>
              <w:jc w:val="left"/>
              <w:rPr>
                <w:u w:val="single"/>
              </w:rPr>
            </w:pPr>
            <w:r>
              <w:rPr>
                <w:u w:val="single"/>
              </w:rPr>
              <w:t>/s/ Helen Tayton-Martin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Helen Tayton-Martin</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Chief Executive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rPr>
        <w:t>Evaxion to announce business update and second quarter 2026 financial results on August 20, 2026</w:t>
      </w:r>
    </w:p>
    <w:p>
      <w:pPr>
        <w:pStyle w:val="TextBody"/>
        <w:bidi w:val="0"/>
        <w:jc w:val="both"/>
        <w:rPr/>
      </w:pPr>
      <w:r>
        <w:rPr/>
        <w:t>COPENHAGEN, Denmark, August 14, 2026 - Evaxion A/S (NASDAQ: EVAX) (“Evaxion”), a clinical-stage TechBio company developing novel vaccines with its pioneering AI-Immunology platform, will provide a business update and report its second quarter 2026 financial results on Thursday August 20, 2026, before opening of the Nasdaq CM.</w:t>
      </w:r>
    </w:p>
    <w:p>
      <w:pPr>
        <w:pStyle w:val="TextBody"/>
        <w:bidi w:val="0"/>
        <w:jc w:val="both"/>
        <w:rPr/>
      </w:pPr>
      <w:r>
        <w:rPr/>
        <w:t>Evaxion’s Executive Management will host a conference call and webcast the same day at 14:30 CET/08:30 EST, presenting the update and results as well as taking questions.</w:t>
      </w:r>
    </w:p>
    <w:p>
      <w:pPr>
        <w:pStyle w:val="TextBody"/>
        <w:bidi w:val="0"/>
        <w:jc w:val="both"/>
        <w:rPr/>
      </w:pPr>
      <w:r>
        <w:rPr/>
        <w:t>To join the conference call, listen to the presentation and ask verbal questions, please register in advance via this link to receive the dial-in telephone numbers and a unique PIN code. The call can be accessed 15 minutes prior to the start of the live event.</w:t>
      </w:r>
    </w:p>
    <w:p>
      <w:pPr>
        <w:pStyle w:val="TextBody"/>
        <w:bidi w:val="0"/>
        <w:jc w:val="both"/>
        <w:rPr/>
      </w:pPr>
      <w:r>
        <w:rPr/>
        <w:t>To join the webcast, please click on this link. The webcast recording will be available on our website shortly after the event.</w:t>
      </w:r>
    </w:p>
    <w:p>
      <w:pPr>
        <w:pStyle w:val="TextBody"/>
        <w:bidi w:val="0"/>
        <w:jc w:val="both"/>
        <w:rPr/>
      </w:pPr>
      <w:r>
        <w:rPr>
          <w:b/>
        </w:rPr>
        <w:t>Contact information</w:t>
      </w:r>
      <w:r>
        <w:rPr/>
        <w:t> </w:t>
        <w:br/>
        <w:t>Evaxion A/S</w:t>
        <w:br/>
        <w:t>Mads Kronborg</w:t>
        <w:br/>
        <w:t>Vice President, Investor Relations &amp; Communication</w:t>
        <w:br/>
        <w:t xml:space="preserve">+45 53 54 82 96 </w:t>
        <w:br/>
        <w:t>mak@evaxion.ai</w:t>
      </w:r>
    </w:p>
    <w:p>
      <w:pPr>
        <w:pStyle w:val="TextBody"/>
        <w:bidi w:val="0"/>
        <w:jc w:val="both"/>
        <w:rPr/>
      </w:pPr>
      <w:r>
        <w:rPr>
          <w:b/>
        </w:rPr>
        <w:t>About Evaxion</w:t>
      </w:r>
      <w:r>
        <w:rPr/>
        <w:t xml:space="preserve"> </w:t>
        <w:br/>
        <w:t>Evaxion is a pioneering TechBio company based upon its proprietary, clinically validated and scalable AI platform, AI-Immunology. The platform harnesses the power of artificial intelligence to decode the human immune system and develop novel vaccine candidates for cancer and infectious diseases.</w:t>
      </w:r>
    </w:p>
    <w:p>
      <w:pPr>
        <w:pStyle w:val="TextBody"/>
        <w:bidi w:val="0"/>
        <w:jc w:val="both"/>
        <w:rPr/>
      </w:pPr>
      <w:r>
        <w:rPr/>
        <w:t>With AI-Immunology we conduct rapid, efficient and high-quality target discovery, drug design and development. Our team of +40 experts covers the entire value chain from target discovery to clinical development.</w:t>
      </w:r>
    </w:p>
    <w:p>
      <w:pPr>
        <w:pStyle w:val="TextBody"/>
        <w:bidi w:val="0"/>
        <w:jc w:val="both"/>
        <w:rPr/>
      </w:pPr>
      <w:r>
        <w:rPr/>
        <w:t>We have developed a clinical pipeline of both personalized and off-the-shelf cancer vaccine candidates as well as prophylactic vaccine candidates for infectious diseases. All our candidates address high unmet medical needs, reflecting our commitment to transforming patients’ lives by providing innovative and targeted treatment options.</w:t>
      </w:r>
    </w:p>
    <w:p>
      <w:pPr>
        <w:pStyle w:val="TextBody"/>
        <w:bidi w:val="0"/>
        <w:jc w:val="both"/>
        <w:rPr/>
      </w:pPr>
      <w:r>
        <w:rPr/>
        <w:t>For more information about Evaxion, AI-Immunology and our pipeline, please visit our website. </w:t>
      </w:r>
    </w:p>
    <w:p>
      <w:pPr>
        <w:pStyle w:val="TextBody"/>
        <w:bidi w:val="0"/>
        <w:spacing w:before="0" w:after="283"/>
        <w:jc w:val="both"/>
        <w:rPr/>
      </w:pPr>
      <w:r>
        <w:rPr>
          <w:b/>
        </w:rPr>
        <w:t>Forward-looking statement</w:t>
      </w:r>
      <w:r>
        <w:rPr/>
        <w:t> </w:t>
        <w:br/>
        <w:t>This announcement contains forward-looking statements within the meaning of Section 27A of the Securities Act of 1933, as amended, and Section 21E of the Securities Exchange Act of 1934, as amended. The words “target,” “believe,” “expect,” “hope,” “aim,” “intend,” “may,” “might,” “anticipate,” “contemplate,” “continue,” “estimate,” “plan,” “potential,” “predict,” “project,” “will,” “can have,” “likely,” “should,” “would,” “could,” and other words and terms of similar meaning identify forward-looking statements. Actual results may differ materially from those indicated by such forward-looking statements as a result of various factors, including, but not limited to, risks related to: our financial condition and need for additional capital; our development work; cost and success of our product development activities and preclinical and clinical trials; commercializing any approved pharmaceutical product developed using our AI platform technology, including the rate and degree of market acceptance of our product candidates; our dependence on third parties including for conduct of clinical testing and product manufacture; our inability to enter into partnerships; government regulation; protection of our intellectual property rights; employee matters and managing growth; our ADSs and ordinary shares, the impact of international economic, political, legal, compliance, social and business factors, including inflation, and the effects on our business from other significant geopolitical and macro-economic events; and other uncertainties affecting our business operations and financial condition. For a further discussion of these risks, please refer to the risk factors included in our most recent Annual Report on Form 20-F and other filings with the US Securities and Exchange Commission (SEC), which are available at </w:t>
      </w:r>
      <w:r>
        <w:rPr>
          <w:b/>
        </w:rPr>
        <w:t>www.sec.gov</w:t>
      </w:r>
      <w:r>
        <w:rPr/>
        <w:t>. We do not assume any obligation to update any forward-looking statements except as required by law.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902</Words>
  <Characters>5165</Characters>
  <CharactersWithSpaces>6072</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