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For the month of August 2024</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001-39950</w:t>
      </w:r>
    </w:p>
    <w:p>
      <w:pPr>
        <w:spacing w:after="0" w:line="20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Evaxion Biotech A/S</w:t>
      </w:r>
    </w:p>
    <w:p>
      <w:pPr>
        <w:spacing w:after="0" w:line="1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Dr. Neergaards Vej 5f</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DK-2970 Hoersholm</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Denmark</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463"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This report on Form 6-K shall be deemed to be incorporated by reference in Evaxion Biotech A/S’s registration statements on Form S-8 (File No. 333-255064), on Form F-3 (File No. 333-265132), on Form F-1, as amended (File No. 333-266050), Form F-1 (File No. 333-276505), and Form F-1 (File No. 333-279153), including any prospectuses forming a part of such registration statements and to be a part thereof from the date on which this report is filed, to the extent not superseded by documents or reports subsequently filed or furnished.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10" w:lineRule="exact"/>
        <w:rPr>
          <w:sz w:val="20"/>
          <w:szCs w:val="20"/>
          <w:color w:val="auto"/>
        </w:rPr>
      </w:pPr>
    </w:p>
    <w:p>
      <w:pPr>
        <w:jc w:val="both"/>
        <w:ind w:right="160"/>
        <w:spacing w:after="0" w:line="244" w:lineRule="auto"/>
        <w:rPr>
          <w:sz w:val="20"/>
          <w:szCs w:val="20"/>
          <w:color w:val="auto"/>
        </w:rPr>
      </w:pPr>
      <w:r>
        <w:rPr>
          <w:rFonts w:ascii="Times New Roman" w:cs="Times New Roman" w:eastAsia="Times New Roman" w:hAnsi="Times New Roman"/>
          <w:sz w:val="22"/>
          <w:szCs w:val="22"/>
          <w:color w:val="auto"/>
        </w:rPr>
        <w:t>On August 14, 2024, Evaxion Biotech A/S (the “Company”), a clinical-stage TechBio company specializing in developing AI-Immunology™ powered vaccines, issued a press release titled “Evaxion Announces Business Update and Second Quarter 2024 Financial Results”. A copy of the press release is furnished as Exhibit 99.1 to this report on Form 6-K.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1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 No.</w:t>
        <w:tab/>
        <w:t>Description</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Evaxion Biotech A/S</w:t>
            </w:r>
          </w:p>
        </w:tc>
      </w:tr>
      <w:tr>
        <w:trPr>
          <w:trHeight w:val="237"/>
        </w:trPr>
        <w:tc>
          <w:tcPr>
            <w:tcW w:w="38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(Registrant)</w:t>
            </w:r>
          </w:p>
        </w:tc>
        <w:tc>
          <w:tcPr>
            <w:tcW w:w="180" w:type="dxa"/>
            <w:vAlign w:val="bottom"/>
          </w:tcPr>
          <w:p>
            <w:pPr>
              <w:spacing w:after="0"/>
              <w:rPr>
                <w:sz w:val="20"/>
                <w:szCs w:val="20"/>
                <w:color w:val="auto"/>
              </w:rPr>
            </w:pPr>
          </w:p>
        </w:tc>
      </w:tr>
      <w:tr>
        <w:trPr>
          <w:trHeight w:val="608"/>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28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Christian Kanstrup</w:t>
            </w:r>
          </w:p>
        </w:tc>
      </w:tr>
      <w:tr>
        <w:trPr>
          <w:trHeight w:val="218"/>
        </w:trPr>
        <w:tc>
          <w:tcPr>
            <w:tcW w:w="3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Kanstrup</w:t>
            </w:r>
          </w:p>
        </w:tc>
      </w:tr>
      <w:tr>
        <w:trPr>
          <w:trHeight w:val="234"/>
        </w:trPr>
        <w:tc>
          <w:tcPr>
            <w:tcW w:w="38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spacing w:after="0" w:line="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Evaxion Announces Business Update and Second Quarter 2024 Financial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COPENHAGEN, Denmark, Aug. 14, 2024 (GLOBE NEWSWIRE) -- Evaxion Biotech A/S (NASDAQ: EVAX) ("Evaxion"), a clinical-stage TechBio company specializing in developing AI-Immunology™ powered vaccines, provides business update and announces second quarter 2024 financial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Highlights Since Last Quarterly Update</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Since the Q1 2024 financial results were released, we have continued to make progress on our three-pronged business model focusing on Targets, Pipeline, and Responders with a multi-partner approach. Key highlights include:</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Several partnership discussions ongoing as our multi-partner approach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20"/>
        <w:spacing w:after="0" w:line="230" w:lineRule="auto"/>
        <w:rPr>
          <w:sz w:val="20"/>
          <w:szCs w:val="20"/>
          <w:color w:val="auto"/>
        </w:rPr>
      </w:pPr>
      <w:r>
        <w:rPr>
          <w:rFonts w:ascii="Times New Roman" w:cs="Times New Roman" w:eastAsia="Times New Roman" w:hAnsi="Times New Roman"/>
          <w:sz w:val="22"/>
          <w:szCs w:val="22"/>
          <w:color w:val="auto"/>
        </w:rPr>
        <w:t>Positive and validating Phase 2 immune data on lead asset EVX-01 presented at ASCO, 67% Objective Response Rate from Phase 1 published in leading medical journal. On track for Phase 2 one-year clinical data readout at the ESMO Congress 2024 in September, as we continue the solid progress for this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920"/>
        <w:spacing w:after="0" w:line="237" w:lineRule="auto"/>
        <w:rPr>
          <w:sz w:val="20"/>
          <w:szCs w:val="20"/>
          <w:color w:val="auto"/>
        </w:rPr>
      </w:pPr>
      <w:r>
        <w:rPr>
          <w:rFonts w:ascii="Times New Roman" w:cs="Times New Roman" w:eastAsia="Times New Roman" w:hAnsi="Times New Roman"/>
          <w:sz w:val="22"/>
          <w:szCs w:val="22"/>
          <w:color w:val="auto"/>
        </w:rPr>
        <w:t>Improved performance of key AI-Immunology™ building block showcased at computational biology conference Several important milestones are on track for reporting over the coming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-113030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Christian Kanstrup, Chief Executive Officer at Evaxion, commented: “I am very pleased with our continued progress executing on our three-pronged business model. We remain on track to achieve several of our key 2024 milestones in the coming months as planned and communicated. I am excited that we are seeing solid interest from external parties in both our AI-Immunology™ platform and our pipeline candidates and we are very focused on advancing ongoing business development discussions. Further, the EVX-01 immune data presented at ASCO makes us eagerly await the upcoming one-year clinical readout, which will be presented at ESMO Congress 2024. On the technology side I am excited about the continued strengthening of our AI-Immunology™ platform. This is evidenced by the positive feedback from the World Intellectual Property Organization on our patent application for an AI-based novel cancer target identification method as well as the presentation of our updated EvaxMHC building block during July.”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Anticipated 2024 Milestones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380" w:type="dxa"/>
            <w:vAlign w:val="bottom"/>
            <w:tcBorders>
              <w:bottom w:val="single" w:sz="8" w:color="auto"/>
              <w:right w:val="single" w:sz="8" w:color="auto"/>
            </w:tcBorders>
          </w:tcPr>
          <w:p>
            <w:pPr>
              <w:spacing w:after="0"/>
              <w:rPr>
                <w:sz w:val="23"/>
                <w:szCs w:val="23"/>
                <w:color w:val="auto"/>
              </w:rPr>
            </w:pPr>
          </w:p>
        </w:tc>
        <w:tc>
          <w:tcPr>
            <w:tcW w:w="59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Milestones</w:t>
            </w:r>
          </w:p>
        </w:tc>
        <w:tc>
          <w:tcPr>
            <w:tcW w:w="2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Target</w:t>
            </w:r>
          </w:p>
        </w:tc>
        <w:tc>
          <w:tcPr>
            <w:tcW w:w="0" w:type="dxa"/>
            <w:vAlign w:val="bottom"/>
          </w:tcPr>
          <w:p>
            <w:pPr>
              <w:spacing w:after="0"/>
              <w:rPr>
                <w:sz w:val="1"/>
                <w:szCs w:val="1"/>
                <w:color w:val="auto"/>
              </w:rPr>
            </w:pPr>
          </w:p>
        </w:tc>
      </w:tr>
      <w:tr>
        <w:trPr>
          <w:trHeight w:val="263"/>
        </w:trPr>
        <w:tc>
          <w:tcPr>
            <w:tcW w:w="23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EVX-B1</w:t>
            </w:r>
          </w:p>
        </w:tc>
        <w:tc>
          <w:tcPr>
            <w:tcW w:w="59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Conclusion of final MTA study with potential partner</w:t>
            </w:r>
          </w:p>
        </w:tc>
        <w:tc>
          <w:tcPr>
            <w:tcW w:w="2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Q1 2024</w:t>
            </w:r>
          </w:p>
        </w:tc>
        <w:tc>
          <w:tcPr>
            <w:tcW w:w="0" w:type="dxa"/>
            <w:vAlign w:val="bottom"/>
          </w:tcPr>
          <w:p>
            <w:pPr>
              <w:spacing w:after="0"/>
              <w:rPr>
                <w:sz w:val="1"/>
                <w:szCs w:val="1"/>
                <w:color w:val="auto"/>
              </w:rPr>
            </w:pPr>
          </w:p>
        </w:tc>
      </w:tr>
      <w:tr>
        <w:trPr>
          <w:trHeight w:val="223"/>
        </w:trPr>
        <w:tc>
          <w:tcPr>
            <w:tcW w:w="23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2"/>
                <w:szCs w:val="22"/>
                <w:color w:val="auto"/>
              </w:rPr>
              <w:t>AI-Immunology™</w:t>
            </w:r>
          </w:p>
        </w:tc>
        <w:tc>
          <w:tcPr>
            <w:tcW w:w="59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Launch of EDEN™ model version 5.0</w:t>
            </w:r>
          </w:p>
        </w:tc>
        <w:tc>
          <w:tcPr>
            <w:tcW w:w="2960" w:type="dxa"/>
            <w:vAlign w:val="bottom"/>
          </w:tcPr>
          <w:p>
            <w:pPr>
              <w:ind w:left="120"/>
              <w:spacing w:after="0" w:line="223" w:lineRule="exact"/>
              <w:rPr>
                <w:sz w:val="20"/>
                <w:szCs w:val="20"/>
                <w:color w:val="auto"/>
              </w:rPr>
            </w:pPr>
            <w:r>
              <w:rPr>
                <w:rFonts w:ascii="Times New Roman" w:cs="Times New Roman" w:eastAsia="Times New Roman" w:hAnsi="Times New Roman"/>
                <w:sz w:val="22"/>
                <w:szCs w:val="22"/>
                <w:color w:val="auto"/>
              </w:rPr>
              <w:t>Mid 2024</w:t>
            </w:r>
          </w:p>
        </w:tc>
        <w:tc>
          <w:tcPr>
            <w:tcW w:w="0" w:type="dxa"/>
            <w:vAlign w:val="bottom"/>
          </w:tcPr>
          <w:p>
            <w:pPr>
              <w:spacing w:after="0"/>
              <w:rPr>
                <w:sz w:val="1"/>
                <w:szCs w:val="1"/>
                <w:color w:val="auto"/>
              </w:rPr>
            </w:pPr>
          </w:p>
        </w:tc>
      </w:tr>
      <w:tr>
        <w:trPr>
          <w:trHeight w:val="161"/>
        </w:trPr>
        <w:tc>
          <w:tcPr>
            <w:tcW w:w="2380" w:type="dxa"/>
            <w:vAlign w:val="bottom"/>
            <w:tcBorders>
              <w:right w:val="single" w:sz="8" w:color="auto"/>
            </w:tcBorders>
            <w:vMerge w:val="continue"/>
          </w:tcPr>
          <w:p>
            <w:pPr>
              <w:spacing w:after="0"/>
              <w:rPr>
                <w:sz w:val="13"/>
                <w:szCs w:val="13"/>
                <w:color w:val="auto"/>
              </w:rPr>
            </w:pPr>
          </w:p>
        </w:tc>
        <w:tc>
          <w:tcPr>
            <w:tcW w:w="5900" w:type="dxa"/>
            <w:vAlign w:val="bottom"/>
            <w:tcBorders>
              <w:right w:val="single" w:sz="8" w:color="auto"/>
            </w:tcBorders>
            <w:vMerge w:val="continue"/>
          </w:tcPr>
          <w:p>
            <w:pPr>
              <w:spacing w:after="0"/>
              <w:rPr>
                <w:sz w:val="13"/>
                <w:szCs w:val="13"/>
                <w:color w:val="auto"/>
              </w:rPr>
            </w:pPr>
          </w:p>
        </w:tc>
        <w:tc>
          <w:tcPr>
            <w:tcW w:w="29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(ECCB, September)</w:t>
            </w:r>
          </w:p>
        </w:tc>
        <w:tc>
          <w:tcPr>
            <w:tcW w:w="0" w:type="dxa"/>
            <w:vAlign w:val="bottom"/>
          </w:tcPr>
          <w:p>
            <w:pPr>
              <w:spacing w:after="0"/>
              <w:rPr>
                <w:sz w:val="1"/>
                <w:szCs w:val="1"/>
                <w:color w:val="auto"/>
              </w:rPr>
            </w:pPr>
          </w:p>
        </w:tc>
      </w:tr>
      <w:tr>
        <w:trPr>
          <w:trHeight w:val="122"/>
        </w:trPr>
        <w:tc>
          <w:tcPr>
            <w:tcW w:w="2380" w:type="dxa"/>
            <w:vAlign w:val="bottom"/>
            <w:tcBorders>
              <w:bottom w:val="single" w:sz="8" w:color="auto"/>
              <w:right w:val="single" w:sz="8" w:color="auto"/>
            </w:tcBorders>
          </w:tcPr>
          <w:p>
            <w:pPr>
              <w:spacing w:after="0"/>
              <w:rPr>
                <w:sz w:val="10"/>
                <w:szCs w:val="10"/>
                <w:color w:val="auto"/>
              </w:rPr>
            </w:pPr>
          </w:p>
        </w:tc>
        <w:tc>
          <w:tcPr>
            <w:tcW w:w="5900" w:type="dxa"/>
            <w:vAlign w:val="bottom"/>
            <w:tcBorders>
              <w:bottom w:val="single" w:sz="8" w:color="auto"/>
              <w:right w:val="single" w:sz="8" w:color="auto"/>
            </w:tcBorders>
          </w:tcPr>
          <w:p>
            <w:pPr>
              <w:spacing w:after="0"/>
              <w:rPr>
                <w:sz w:val="10"/>
                <w:szCs w:val="10"/>
                <w:color w:val="auto"/>
              </w:rPr>
            </w:pPr>
          </w:p>
        </w:tc>
        <w:tc>
          <w:tcPr>
            <w:tcW w:w="2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380" w:type="dxa"/>
            <w:vAlign w:val="bottom"/>
            <w:tcBorders>
              <w:right w:val="single" w:sz="8" w:color="auto"/>
            </w:tcBorders>
          </w:tcPr>
          <w:p>
            <w:pPr>
              <w:spacing w:after="0"/>
              <w:rPr>
                <w:sz w:val="20"/>
                <w:szCs w:val="20"/>
                <w:color w:val="auto"/>
              </w:rPr>
            </w:pPr>
          </w:p>
        </w:tc>
        <w:tc>
          <w:tcPr>
            <w:tcW w:w="5900" w:type="dxa"/>
            <w:vAlign w:val="bottom"/>
            <w:tcBorders>
              <w:right w:val="single" w:sz="8" w:color="auto"/>
            </w:tcBorders>
          </w:tcPr>
          <w:p>
            <w:pPr>
              <w:spacing w:after="0"/>
              <w:rPr>
                <w:sz w:val="20"/>
                <w:szCs w:val="20"/>
                <w:color w:val="auto"/>
              </w:rPr>
            </w:pPr>
          </w:p>
        </w:tc>
        <w:tc>
          <w:tcPr>
            <w:tcW w:w="2960" w:type="dxa"/>
            <w:vAlign w:val="bottom"/>
          </w:tcPr>
          <w:p>
            <w:pPr>
              <w:ind w:left="120"/>
              <w:spacing w:after="0" w:line="232" w:lineRule="exact"/>
              <w:rPr>
                <w:sz w:val="20"/>
                <w:szCs w:val="20"/>
                <w:color w:val="auto"/>
              </w:rPr>
            </w:pPr>
            <w:r>
              <w:rPr>
                <w:rFonts w:ascii="Times New Roman" w:cs="Times New Roman" w:eastAsia="Times New Roman" w:hAnsi="Times New Roman"/>
                <w:sz w:val="22"/>
                <w:szCs w:val="22"/>
                <w:color w:val="auto"/>
              </w:rPr>
              <w:t>Q3 2024</w:t>
            </w:r>
          </w:p>
        </w:tc>
        <w:tc>
          <w:tcPr>
            <w:tcW w:w="0" w:type="dxa"/>
            <w:vAlign w:val="bottom"/>
          </w:tcPr>
          <w:p>
            <w:pPr>
              <w:spacing w:after="0"/>
              <w:rPr>
                <w:sz w:val="1"/>
                <w:szCs w:val="1"/>
                <w:color w:val="auto"/>
              </w:rPr>
            </w:pPr>
          </w:p>
        </w:tc>
      </w:tr>
      <w:tr>
        <w:trPr>
          <w:trHeight w:val="288"/>
        </w:trPr>
        <w:tc>
          <w:tcPr>
            <w:tcW w:w="23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EVX-B2-mRNA</w:t>
            </w:r>
          </w:p>
        </w:tc>
        <w:tc>
          <w:tcPr>
            <w:tcW w:w="59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EVX-B2-mRNA preclinical Proof-of-Concept obtained</w:t>
            </w:r>
          </w:p>
        </w:tc>
        <w:tc>
          <w:tcPr>
            <w:tcW w:w="2960" w:type="dxa"/>
            <w:vAlign w:val="bottom"/>
          </w:tcPr>
          <w:p>
            <w:pPr>
              <w:ind w:left="120"/>
              <w:spacing w:after="0" w:line="288" w:lineRule="exact"/>
              <w:rPr>
                <w:sz w:val="20"/>
                <w:szCs w:val="20"/>
                <w:color w:val="auto"/>
              </w:rPr>
            </w:pPr>
            <w:r>
              <w:rPr>
                <w:rFonts w:ascii="Times New Roman" w:cs="Times New Roman" w:eastAsia="Times New Roman" w:hAnsi="Times New Roman"/>
                <w:sz w:val="21"/>
                <w:szCs w:val="21"/>
                <w:color w:val="auto"/>
              </w:rPr>
              <w:t>(18</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1"/>
                <w:szCs w:val="21"/>
                <w:color w:val="auto"/>
              </w:rPr>
              <w:t xml:space="preserve"> Vaccine Congress,</w:t>
            </w:r>
          </w:p>
        </w:tc>
        <w:tc>
          <w:tcPr>
            <w:tcW w:w="0" w:type="dxa"/>
            <w:vAlign w:val="bottom"/>
          </w:tcPr>
          <w:p>
            <w:pPr>
              <w:spacing w:after="0"/>
              <w:rPr>
                <w:sz w:val="1"/>
                <w:szCs w:val="1"/>
                <w:color w:val="auto"/>
              </w:rPr>
            </w:pPr>
          </w:p>
        </w:tc>
      </w:tr>
      <w:tr>
        <w:trPr>
          <w:trHeight w:val="283"/>
        </w:trPr>
        <w:tc>
          <w:tcPr>
            <w:tcW w:w="2380" w:type="dxa"/>
            <w:vAlign w:val="bottom"/>
            <w:tcBorders>
              <w:bottom w:val="single" w:sz="8" w:color="auto"/>
              <w:right w:val="single" w:sz="8" w:color="auto"/>
            </w:tcBorders>
          </w:tcPr>
          <w:p>
            <w:pPr>
              <w:spacing w:after="0"/>
              <w:rPr>
                <w:sz w:val="24"/>
                <w:szCs w:val="24"/>
                <w:color w:val="auto"/>
              </w:rPr>
            </w:pPr>
          </w:p>
        </w:tc>
        <w:tc>
          <w:tcPr>
            <w:tcW w:w="590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September)</w:t>
            </w:r>
          </w:p>
        </w:tc>
        <w:tc>
          <w:tcPr>
            <w:tcW w:w="0" w:type="dxa"/>
            <w:vAlign w:val="bottom"/>
          </w:tcPr>
          <w:p>
            <w:pPr>
              <w:spacing w:after="0"/>
              <w:rPr>
                <w:sz w:val="1"/>
                <w:szCs w:val="1"/>
                <w:color w:val="auto"/>
              </w:rPr>
            </w:pPr>
          </w:p>
        </w:tc>
      </w:tr>
      <w:tr>
        <w:trPr>
          <w:trHeight w:val="223"/>
        </w:trPr>
        <w:tc>
          <w:tcPr>
            <w:tcW w:w="23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2"/>
                <w:szCs w:val="22"/>
                <w:color w:val="auto"/>
              </w:rPr>
              <w:t>EVX-01</w:t>
            </w:r>
          </w:p>
        </w:tc>
        <w:tc>
          <w:tcPr>
            <w:tcW w:w="59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Phase 2 one-year readout</w:t>
            </w:r>
          </w:p>
        </w:tc>
        <w:tc>
          <w:tcPr>
            <w:tcW w:w="2960" w:type="dxa"/>
            <w:vAlign w:val="bottom"/>
          </w:tcPr>
          <w:p>
            <w:pPr>
              <w:ind w:left="120"/>
              <w:spacing w:after="0" w:line="223" w:lineRule="exact"/>
              <w:rPr>
                <w:sz w:val="20"/>
                <w:szCs w:val="20"/>
                <w:color w:val="auto"/>
              </w:rPr>
            </w:pPr>
            <w:r>
              <w:rPr>
                <w:rFonts w:ascii="Times New Roman" w:cs="Times New Roman" w:eastAsia="Times New Roman" w:hAnsi="Times New Roman"/>
                <w:sz w:val="22"/>
                <w:szCs w:val="22"/>
                <w:color w:val="auto"/>
              </w:rPr>
              <w:t>Q3 2024</w:t>
            </w:r>
          </w:p>
        </w:tc>
        <w:tc>
          <w:tcPr>
            <w:tcW w:w="0" w:type="dxa"/>
            <w:vAlign w:val="bottom"/>
          </w:tcPr>
          <w:p>
            <w:pPr>
              <w:spacing w:after="0"/>
              <w:rPr>
                <w:sz w:val="1"/>
                <w:szCs w:val="1"/>
                <w:color w:val="auto"/>
              </w:rPr>
            </w:pPr>
          </w:p>
        </w:tc>
      </w:tr>
      <w:tr>
        <w:trPr>
          <w:trHeight w:val="161"/>
        </w:trPr>
        <w:tc>
          <w:tcPr>
            <w:tcW w:w="2380" w:type="dxa"/>
            <w:vAlign w:val="bottom"/>
            <w:tcBorders>
              <w:right w:val="single" w:sz="8" w:color="auto"/>
            </w:tcBorders>
            <w:vMerge w:val="continue"/>
          </w:tcPr>
          <w:p>
            <w:pPr>
              <w:spacing w:after="0"/>
              <w:rPr>
                <w:sz w:val="13"/>
                <w:szCs w:val="13"/>
                <w:color w:val="auto"/>
              </w:rPr>
            </w:pPr>
          </w:p>
        </w:tc>
        <w:tc>
          <w:tcPr>
            <w:tcW w:w="5900" w:type="dxa"/>
            <w:vAlign w:val="bottom"/>
            <w:tcBorders>
              <w:right w:val="single" w:sz="8" w:color="auto"/>
            </w:tcBorders>
            <w:vMerge w:val="continue"/>
          </w:tcPr>
          <w:p>
            <w:pPr>
              <w:spacing w:after="0"/>
              <w:rPr>
                <w:sz w:val="13"/>
                <w:szCs w:val="13"/>
                <w:color w:val="auto"/>
              </w:rPr>
            </w:pPr>
          </w:p>
        </w:tc>
        <w:tc>
          <w:tcPr>
            <w:tcW w:w="29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(ESMO Congress, September)</w:t>
            </w:r>
          </w:p>
        </w:tc>
        <w:tc>
          <w:tcPr>
            <w:tcW w:w="0" w:type="dxa"/>
            <w:vAlign w:val="bottom"/>
          </w:tcPr>
          <w:p>
            <w:pPr>
              <w:spacing w:after="0"/>
              <w:rPr>
                <w:sz w:val="1"/>
                <w:szCs w:val="1"/>
                <w:color w:val="auto"/>
              </w:rPr>
            </w:pPr>
          </w:p>
        </w:tc>
      </w:tr>
      <w:tr>
        <w:trPr>
          <w:trHeight w:val="122"/>
        </w:trPr>
        <w:tc>
          <w:tcPr>
            <w:tcW w:w="2380" w:type="dxa"/>
            <w:vAlign w:val="bottom"/>
            <w:tcBorders>
              <w:bottom w:val="single" w:sz="8" w:color="auto"/>
              <w:right w:val="single" w:sz="8" w:color="auto"/>
            </w:tcBorders>
          </w:tcPr>
          <w:p>
            <w:pPr>
              <w:spacing w:after="0"/>
              <w:rPr>
                <w:sz w:val="10"/>
                <w:szCs w:val="10"/>
                <w:color w:val="auto"/>
              </w:rPr>
            </w:pPr>
          </w:p>
        </w:tc>
        <w:tc>
          <w:tcPr>
            <w:tcW w:w="5900" w:type="dxa"/>
            <w:vAlign w:val="bottom"/>
            <w:tcBorders>
              <w:bottom w:val="single" w:sz="8" w:color="auto"/>
              <w:right w:val="single" w:sz="8" w:color="auto"/>
            </w:tcBorders>
          </w:tcPr>
          <w:p>
            <w:pPr>
              <w:spacing w:after="0"/>
              <w:rPr>
                <w:sz w:val="10"/>
                <w:szCs w:val="10"/>
                <w:color w:val="auto"/>
              </w:rPr>
            </w:pPr>
          </w:p>
        </w:tc>
        <w:tc>
          <w:tcPr>
            <w:tcW w:w="2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380" w:type="dxa"/>
            <w:vAlign w:val="bottom"/>
            <w:tcBorders>
              <w:right w:val="single" w:sz="8" w:color="auto"/>
            </w:tcBorders>
          </w:tcPr>
          <w:p>
            <w:pPr>
              <w:spacing w:after="0"/>
              <w:rPr>
                <w:sz w:val="19"/>
                <w:szCs w:val="19"/>
                <w:color w:val="auto"/>
              </w:rPr>
            </w:pPr>
          </w:p>
        </w:tc>
        <w:tc>
          <w:tcPr>
            <w:tcW w:w="5900" w:type="dxa"/>
            <w:vAlign w:val="bottom"/>
            <w:tcBorders>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Conclusion of target discovery and validation work in</w:t>
            </w: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380" w:type="dxa"/>
            <w:vAlign w:val="bottom"/>
            <w:tcBorders>
              <w:right w:val="single" w:sz="8" w:color="auto"/>
            </w:tcBorders>
          </w:tcPr>
          <w:p>
            <w:pPr>
              <w:ind w:left="140"/>
              <w:spacing w:after="0" w:line="243" w:lineRule="exact"/>
              <w:rPr>
                <w:sz w:val="20"/>
                <w:szCs w:val="20"/>
                <w:color w:val="auto"/>
              </w:rPr>
            </w:pPr>
            <w:r>
              <w:rPr>
                <w:rFonts w:ascii="Times New Roman" w:cs="Times New Roman" w:eastAsia="Times New Roman" w:hAnsi="Times New Roman"/>
                <w:sz w:val="22"/>
                <w:szCs w:val="22"/>
                <w:color w:val="auto"/>
              </w:rPr>
              <w:t>EVX-B3</w:t>
            </w:r>
          </w:p>
        </w:tc>
        <w:tc>
          <w:tcPr>
            <w:tcW w:w="590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collaboration with MSD (tradename of Merck &amp; Co., Inc.,</w:t>
            </w:r>
          </w:p>
        </w:tc>
        <w:tc>
          <w:tcPr>
            <w:tcW w:w="29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H2 2024</w:t>
            </w:r>
          </w:p>
        </w:tc>
        <w:tc>
          <w:tcPr>
            <w:tcW w:w="0" w:type="dxa"/>
            <w:vAlign w:val="bottom"/>
          </w:tcPr>
          <w:p>
            <w:pPr>
              <w:spacing w:after="0"/>
              <w:rPr>
                <w:sz w:val="1"/>
                <w:szCs w:val="1"/>
                <w:color w:val="auto"/>
              </w:rPr>
            </w:pPr>
          </w:p>
        </w:tc>
      </w:tr>
      <w:tr>
        <w:trPr>
          <w:trHeight w:val="283"/>
        </w:trPr>
        <w:tc>
          <w:tcPr>
            <w:tcW w:w="2380" w:type="dxa"/>
            <w:vAlign w:val="bottom"/>
            <w:tcBorders>
              <w:bottom w:val="single" w:sz="8" w:color="auto"/>
              <w:right w:val="single" w:sz="8" w:color="auto"/>
            </w:tcBorders>
          </w:tcPr>
          <w:p>
            <w:pPr>
              <w:spacing w:after="0"/>
              <w:rPr>
                <w:sz w:val="24"/>
                <w:szCs w:val="24"/>
                <w:color w:val="auto"/>
              </w:rPr>
            </w:pPr>
          </w:p>
        </w:tc>
        <w:tc>
          <w:tcPr>
            <w:tcW w:w="59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Rahway, NJ, USA)</w:t>
            </w:r>
          </w:p>
        </w:tc>
        <w:tc>
          <w:tcPr>
            <w:tcW w:w="2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80" w:type="dxa"/>
            <w:vAlign w:val="bottom"/>
            <w:tcBorders>
              <w:right w:val="single" w:sz="8" w:color="auto"/>
            </w:tcBorders>
          </w:tcPr>
          <w:p>
            <w:pPr>
              <w:ind w:left="140"/>
              <w:spacing w:after="0" w:line="223" w:lineRule="exact"/>
              <w:rPr>
                <w:sz w:val="20"/>
                <w:szCs w:val="20"/>
                <w:color w:val="auto"/>
              </w:rPr>
            </w:pPr>
            <w:r>
              <w:rPr>
                <w:rFonts w:ascii="Times New Roman" w:cs="Times New Roman" w:eastAsia="Times New Roman" w:hAnsi="Times New Roman"/>
                <w:sz w:val="22"/>
                <w:szCs w:val="22"/>
                <w:color w:val="auto"/>
              </w:rPr>
              <w:t>Precision ERV cancer</w:t>
            </w:r>
          </w:p>
        </w:tc>
        <w:tc>
          <w:tcPr>
            <w:tcW w:w="59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Preclinical Proof-of-Concept obtained</w:t>
            </w:r>
          </w:p>
        </w:tc>
        <w:tc>
          <w:tcPr>
            <w:tcW w:w="29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H2 2024</w:t>
            </w:r>
          </w:p>
        </w:tc>
        <w:tc>
          <w:tcPr>
            <w:tcW w:w="0" w:type="dxa"/>
            <w:vAlign w:val="bottom"/>
          </w:tcPr>
          <w:p>
            <w:pPr>
              <w:spacing w:after="0"/>
              <w:rPr>
                <w:sz w:val="1"/>
                <w:szCs w:val="1"/>
                <w:color w:val="auto"/>
              </w:rPr>
            </w:pPr>
          </w:p>
        </w:tc>
      </w:tr>
      <w:tr>
        <w:trPr>
          <w:trHeight w:val="161"/>
        </w:trPr>
        <w:tc>
          <w:tcPr>
            <w:tcW w:w="23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2"/>
                <w:szCs w:val="22"/>
                <w:color w:val="auto"/>
              </w:rPr>
              <w:t>vaccines</w:t>
            </w:r>
          </w:p>
        </w:tc>
        <w:tc>
          <w:tcPr>
            <w:tcW w:w="5900" w:type="dxa"/>
            <w:vAlign w:val="bottom"/>
            <w:tcBorders>
              <w:right w:val="single" w:sz="8" w:color="auto"/>
            </w:tcBorders>
            <w:vMerge w:val="continue"/>
          </w:tcPr>
          <w:p>
            <w:pPr>
              <w:spacing w:after="0"/>
              <w:rPr>
                <w:sz w:val="13"/>
                <w:szCs w:val="13"/>
                <w:color w:val="auto"/>
              </w:rPr>
            </w:pPr>
          </w:p>
        </w:tc>
        <w:tc>
          <w:tcPr>
            <w:tcW w:w="2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380" w:type="dxa"/>
            <w:vAlign w:val="bottom"/>
            <w:tcBorders>
              <w:bottom w:val="single" w:sz="8" w:color="auto"/>
              <w:right w:val="single" w:sz="8" w:color="auto"/>
            </w:tcBorders>
            <w:vMerge w:val="continue"/>
          </w:tcPr>
          <w:p>
            <w:pPr>
              <w:spacing w:after="0"/>
              <w:rPr>
                <w:sz w:val="10"/>
                <w:szCs w:val="10"/>
                <w:color w:val="auto"/>
              </w:rPr>
            </w:pPr>
          </w:p>
        </w:tc>
        <w:tc>
          <w:tcPr>
            <w:tcW w:w="5900" w:type="dxa"/>
            <w:vAlign w:val="bottom"/>
            <w:tcBorders>
              <w:bottom w:val="single" w:sz="8" w:color="auto"/>
              <w:right w:val="single" w:sz="8" w:color="auto"/>
            </w:tcBorders>
          </w:tcPr>
          <w:p>
            <w:pPr>
              <w:spacing w:after="0"/>
              <w:rPr>
                <w:sz w:val="10"/>
                <w:szCs w:val="10"/>
                <w:color w:val="auto"/>
              </w:rPr>
            </w:pPr>
          </w:p>
        </w:tc>
        <w:tc>
          <w:tcPr>
            <w:tcW w:w="2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380" w:type="dxa"/>
            <w:vAlign w:val="bottom"/>
            <w:tcBorders>
              <w:right w:val="single" w:sz="8" w:color="auto"/>
            </w:tcBorders>
          </w:tcPr>
          <w:p>
            <w:pPr>
              <w:spacing w:after="0"/>
              <w:rPr>
                <w:sz w:val="19"/>
                <w:szCs w:val="19"/>
                <w:color w:val="auto"/>
              </w:rPr>
            </w:pPr>
          </w:p>
        </w:tc>
        <w:tc>
          <w:tcPr>
            <w:tcW w:w="5900" w:type="dxa"/>
            <w:vAlign w:val="bottom"/>
            <w:tcBorders>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Ambition for full year 2024 is to generate business development</w:t>
            </w: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380" w:type="dxa"/>
            <w:vAlign w:val="bottom"/>
            <w:tcBorders>
              <w:right w:val="single" w:sz="8" w:color="auto"/>
            </w:tcBorders>
          </w:tcPr>
          <w:p>
            <w:pPr>
              <w:ind w:left="140"/>
              <w:spacing w:after="0" w:line="243" w:lineRule="exact"/>
              <w:rPr>
                <w:sz w:val="20"/>
                <w:szCs w:val="20"/>
                <w:color w:val="auto"/>
              </w:rPr>
            </w:pPr>
            <w:r>
              <w:rPr>
                <w:rFonts w:ascii="Times New Roman" w:cs="Times New Roman" w:eastAsia="Times New Roman" w:hAnsi="Times New Roman"/>
                <w:sz w:val="22"/>
                <w:szCs w:val="22"/>
                <w:color w:val="auto"/>
              </w:rPr>
              <w:t>Funding</w:t>
            </w:r>
          </w:p>
        </w:tc>
        <w:tc>
          <w:tcPr>
            <w:tcW w:w="590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income or cash in equal to 2024 cash burn (excluding financing</w:t>
            </w:r>
          </w:p>
        </w:tc>
        <w:tc>
          <w:tcPr>
            <w:tcW w:w="2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380" w:type="dxa"/>
            <w:vAlign w:val="bottom"/>
            <w:tcBorders>
              <w:bottom w:val="single" w:sz="8" w:color="auto"/>
              <w:right w:val="single" w:sz="8" w:color="auto"/>
            </w:tcBorders>
          </w:tcPr>
          <w:p>
            <w:pPr>
              <w:spacing w:after="0"/>
              <w:rPr>
                <w:sz w:val="24"/>
                <w:szCs w:val="24"/>
                <w:color w:val="auto"/>
              </w:rPr>
            </w:pPr>
          </w:p>
        </w:tc>
        <w:tc>
          <w:tcPr>
            <w:tcW w:w="59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activities) of $14 million*</w:t>
            </w:r>
          </w:p>
        </w:tc>
        <w:tc>
          <w:tcPr>
            <w:tcW w:w="2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3800"/>
        <w:spacing w:after="0" w:line="435" w:lineRule="auto"/>
        <w:rPr>
          <w:sz w:val="20"/>
          <w:szCs w:val="20"/>
          <w:color w:val="auto"/>
        </w:rPr>
      </w:pPr>
      <w:r>
        <w:rPr>
          <w:rFonts w:ascii="Times New Roman" w:cs="Times New Roman" w:eastAsia="Times New Roman" w:hAnsi="Times New Roman"/>
          <w:sz w:val="22"/>
          <w:szCs w:val="22"/>
          <w:color w:val="auto"/>
        </w:rPr>
        <w:t xml:space="preserve">*No assurances can be made that we will generate such business development income </w:t>
      </w:r>
      <w:r>
        <w:rPr>
          <w:rFonts w:ascii="Times New Roman" w:cs="Times New Roman" w:eastAsia="Times New Roman" w:hAnsi="Times New Roman"/>
          <w:sz w:val="22"/>
          <w:szCs w:val="22"/>
          <w:b w:val="1"/>
          <w:bCs w:val="1"/>
          <w:color w:val="auto"/>
        </w:rPr>
        <w:t>Second Quarter 2024 Financial Results</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Cash position as of June 30, 2024, was $8.0 million, as compared to $5.6 million as of December 31, 2023. The company expects that its existing cash and cash equivalents will be sufficient to fund its operating expenses and capital expenditure requirements into February 2025.</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Research and Development expenses were $2.8 million for the quarter ending June 30, 2024, as compared to $2.9 million for the quarter ending June 30, 2023. The decrease was primarily due to a decrease in headcount partly countered by increased external costs related to development activities in general.</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General and Administrative expenses were $2.0 million for the quarter ending June 30, 2024, as compared to $2.7 million for the quarter ending June 30, 2023. The decrease was primarily due to a decrease in external costs related to overhead and professional fees but also a decrease in employee-related costs due to reduced headcount.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Net loss of $6.2 million for the quarter ending June 30, 2024, or $(0.12) per basic and diluted share, as compared to a net loss of $5.7 million, or $(0.21) per basic and diluted share for the quarter ending June 30, 2023. The increased loss in net income was driven by the remeasurement of $1.7 million of derivative liabilities in the period until the warrant terms were amended and the</w:t>
      </w:r>
    </w:p>
    <w:p>
      <w:pPr>
        <w:sectPr>
          <w:pgSz w:w="11900" w:h="16922" w:orient="portrait"/>
          <w:cols w:equalWidth="0" w:num="1">
            <w:col w:w="11240"/>
          </w:cols>
          <w:pgMar w:left="320" w:top="108" w:right="339" w:bottom="0" w:gutter="0" w:footer="0" w:header="0"/>
        </w:sectPr>
      </w:pPr>
    </w:p>
    <w:bookmarkStart w:id="4" w:name="page5"/>
    <w:bookmarkEnd w:id="4"/>
    <w:p>
      <w:pPr>
        <w:jc w:val="both"/>
        <w:spacing w:after="0" w:line="259" w:lineRule="auto"/>
        <w:rPr>
          <w:sz w:val="20"/>
          <w:szCs w:val="20"/>
          <w:color w:val="auto"/>
        </w:rPr>
      </w:pPr>
      <w:r>
        <w:rPr>
          <w:rFonts w:ascii="Times New Roman" w:cs="Times New Roman" w:eastAsia="Times New Roman" w:hAnsi="Times New Roman"/>
          <w:sz w:val="22"/>
          <w:szCs w:val="22"/>
          <w:color w:val="auto"/>
        </w:rPr>
        <w:t>liabilities reversed and included in other reserves. The derivative liability which has been reversed related to warrants associated with the December 2023 PIPE and February 2024 public offering financing transactions.</w:t>
      </w:r>
    </w:p>
    <w:p>
      <w:pPr>
        <w:spacing w:after="0" w:line="1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Total equity amount to $1.3 million on June 30, 2024. Effects from derivative liabilities mentioned in the announcement for first quarter have been eliminated as warrant terms have been amended and the derivative liabilities reversed. Remeasurement of derivative liabilities for the 6 months period ending June 30, 2024, is accounted for as financial income and expenses with an income of $3.8 million for the period until the term was amended and the remaining balance was transferred to other reserves, where it together with the initial recognition of the liability amounted to a net cost of $1.1 million.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Evaxion Biotech A/S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Consolidated Statement of Financial Position Data (Unaudited)</w:t>
      </w:r>
    </w:p>
    <w:p>
      <w:pPr>
        <w:jc w:val="center"/>
        <w:spacing w:after="0"/>
        <w:rPr>
          <w:sz w:val="20"/>
          <w:szCs w:val="20"/>
          <w:color w:val="auto"/>
        </w:rPr>
      </w:pPr>
      <w:r>
        <w:rPr>
          <w:rFonts w:ascii="Times New Roman" w:cs="Times New Roman" w:eastAsia="Times New Roman" w:hAnsi="Times New Roman"/>
          <w:sz w:val="22"/>
          <w:szCs w:val="22"/>
          <w:color w:val="auto"/>
        </w:rPr>
        <w:t>(USD in thousands)</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June 30,</w:t>
            </w:r>
          </w:p>
        </w:tc>
        <w:tc>
          <w:tcPr>
            <w:tcW w:w="360" w:type="dxa"/>
            <w:vAlign w:val="bottom"/>
          </w:tcPr>
          <w:p>
            <w:pPr>
              <w:spacing w:after="0"/>
              <w:rPr>
                <w:sz w:val="22"/>
                <w:szCs w:val="22"/>
                <w:color w:val="auto"/>
              </w:rPr>
            </w:pP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Dec 31,</w:t>
            </w:r>
          </w:p>
        </w:tc>
        <w:tc>
          <w:tcPr>
            <w:tcW w:w="0" w:type="dxa"/>
            <w:vAlign w:val="bottom"/>
          </w:tcPr>
          <w:p>
            <w:pPr>
              <w:spacing w:after="0"/>
              <w:rPr>
                <w:sz w:val="1"/>
                <w:szCs w:val="1"/>
                <w:color w:val="auto"/>
              </w:rPr>
            </w:pPr>
          </w:p>
        </w:tc>
      </w:tr>
      <w:tr>
        <w:trPr>
          <w:trHeight w:val="287"/>
        </w:trPr>
        <w:tc>
          <w:tcPr>
            <w:tcW w:w="7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Cash and cash equivalents</w:t>
            </w:r>
          </w:p>
        </w:tc>
        <w:tc>
          <w:tcPr>
            <w:tcW w:w="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2023</w:t>
            </w:r>
          </w:p>
        </w:tc>
        <w:tc>
          <w:tcPr>
            <w:tcW w:w="0" w:type="dxa"/>
            <w:vAlign w:val="bottom"/>
          </w:tcPr>
          <w:p>
            <w:pPr>
              <w:spacing w:after="0"/>
              <w:rPr>
                <w:sz w:val="1"/>
                <w:szCs w:val="1"/>
                <w:color w:val="auto"/>
              </w:rPr>
            </w:pPr>
          </w:p>
        </w:tc>
      </w:tr>
      <w:tr>
        <w:trPr>
          <w:trHeight w:val="264"/>
        </w:trPr>
        <w:tc>
          <w:tcPr>
            <w:tcW w:w="7860" w:type="dxa"/>
            <w:vAlign w:val="bottom"/>
            <w:vMerge w:val="continue"/>
          </w:tcPr>
          <w:p>
            <w:pPr>
              <w:spacing w:after="0"/>
              <w:rPr>
                <w:sz w:val="22"/>
                <w:szCs w:val="22"/>
                <w:color w:val="auto"/>
              </w:rPr>
            </w:pPr>
          </w:p>
        </w:tc>
        <w:tc>
          <w:tcPr>
            <w:tcW w:w="4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7,993</w:t>
            </w:r>
          </w:p>
        </w:tc>
        <w:tc>
          <w:tcPr>
            <w:tcW w:w="3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5,583</w:t>
            </w:r>
          </w:p>
        </w:tc>
        <w:tc>
          <w:tcPr>
            <w:tcW w:w="0" w:type="dxa"/>
            <w:vAlign w:val="bottom"/>
          </w:tcPr>
          <w:p>
            <w:pPr>
              <w:spacing w:after="0"/>
              <w:rPr>
                <w:sz w:val="1"/>
                <w:szCs w:val="1"/>
                <w:color w:val="auto"/>
              </w:rPr>
            </w:pPr>
          </w:p>
        </w:tc>
      </w:tr>
      <w:tr>
        <w:trPr>
          <w:trHeight w:val="264"/>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Total assets</w:t>
            </w:r>
          </w:p>
        </w:tc>
        <w:tc>
          <w:tcPr>
            <w:tcW w:w="4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15,231</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12,889</w:t>
            </w:r>
          </w:p>
        </w:tc>
        <w:tc>
          <w:tcPr>
            <w:tcW w:w="0" w:type="dxa"/>
            <w:vAlign w:val="bottom"/>
          </w:tcPr>
          <w:p>
            <w:pPr>
              <w:spacing w:after="0"/>
              <w:rPr>
                <w:sz w:val="1"/>
                <w:szCs w:val="1"/>
                <w:color w:val="auto"/>
              </w:rPr>
            </w:pPr>
          </w:p>
        </w:tc>
      </w:tr>
      <w:tr>
        <w:trPr>
          <w:trHeight w:val="263"/>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Total liabilities</w:t>
            </w:r>
          </w:p>
        </w:tc>
        <w:tc>
          <w:tcPr>
            <w:tcW w:w="4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13,978</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17,618</w:t>
            </w:r>
          </w:p>
        </w:tc>
        <w:tc>
          <w:tcPr>
            <w:tcW w:w="0" w:type="dxa"/>
            <w:vAlign w:val="bottom"/>
          </w:tcPr>
          <w:p>
            <w:pPr>
              <w:spacing w:after="0"/>
              <w:rPr>
                <w:sz w:val="1"/>
                <w:szCs w:val="1"/>
                <w:color w:val="auto"/>
              </w:rPr>
            </w:pPr>
          </w:p>
        </w:tc>
      </w:tr>
      <w:tr>
        <w:trPr>
          <w:trHeight w:val="250"/>
        </w:trPr>
        <w:tc>
          <w:tcPr>
            <w:tcW w:w="78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Share capital</w:t>
            </w:r>
          </w:p>
        </w:tc>
        <w:tc>
          <w:tcPr>
            <w:tcW w:w="460" w:type="dxa"/>
            <w:vAlign w:val="bottom"/>
          </w:tcPr>
          <w:p>
            <w:pPr>
              <w:spacing w:after="0"/>
              <w:rPr>
                <w:sz w:val="21"/>
                <w:szCs w:val="21"/>
                <w:color w:val="auto"/>
              </w:rPr>
            </w:pPr>
          </w:p>
        </w:tc>
        <w:tc>
          <w:tcPr>
            <w:tcW w:w="13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8,244</w:t>
            </w:r>
          </w:p>
        </w:tc>
        <w:tc>
          <w:tcPr>
            <w:tcW w:w="360" w:type="dxa"/>
            <w:vAlign w:val="bottom"/>
          </w:tcPr>
          <w:p>
            <w:pPr>
              <w:spacing w:after="0"/>
              <w:rPr>
                <w:sz w:val="21"/>
                <w:szCs w:val="21"/>
                <w:color w:val="auto"/>
              </w:rPr>
            </w:pPr>
          </w:p>
        </w:tc>
        <w:tc>
          <w:tcPr>
            <w:tcW w:w="124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5,899</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Other reserves</w:t>
            </w:r>
          </w:p>
        </w:tc>
        <w:tc>
          <w:tcPr>
            <w:tcW w:w="4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105,983</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99,946</w:t>
            </w:r>
          </w:p>
        </w:tc>
        <w:tc>
          <w:tcPr>
            <w:tcW w:w="0" w:type="dxa"/>
            <w:vAlign w:val="bottom"/>
          </w:tcPr>
          <w:p>
            <w:pPr>
              <w:spacing w:after="0"/>
              <w:rPr>
                <w:sz w:val="1"/>
                <w:szCs w:val="1"/>
                <w:color w:val="auto"/>
              </w:rPr>
            </w:pPr>
          </w:p>
        </w:tc>
      </w:tr>
      <w:tr>
        <w:trPr>
          <w:trHeight w:val="282"/>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Accumulated deficit</w:t>
            </w:r>
          </w:p>
        </w:tc>
        <w:tc>
          <w:tcPr>
            <w:tcW w:w="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(112,974)</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(107,860)</w:t>
            </w:r>
          </w:p>
        </w:tc>
        <w:tc>
          <w:tcPr>
            <w:tcW w:w="0" w:type="dxa"/>
            <w:vAlign w:val="bottom"/>
          </w:tcPr>
          <w:p>
            <w:pPr>
              <w:spacing w:after="0"/>
              <w:rPr>
                <w:sz w:val="1"/>
                <w:szCs w:val="1"/>
                <w:color w:val="auto"/>
              </w:rPr>
            </w:pPr>
          </w:p>
        </w:tc>
      </w:tr>
      <w:tr>
        <w:trPr>
          <w:trHeight w:val="265"/>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Total equity before derivative warrant liability</w:t>
            </w:r>
          </w:p>
        </w:tc>
        <w:tc>
          <w:tcPr>
            <w:tcW w:w="4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1,253</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(2,015)</w:t>
            </w:r>
          </w:p>
        </w:tc>
        <w:tc>
          <w:tcPr>
            <w:tcW w:w="0" w:type="dxa"/>
            <w:vAlign w:val="bottom"/>
          </w:tcPr>
          <w:p>
            <w:pPr>
              <w:spacing w:after="0"/>
              <w:rPr>
                <w:sz w:val="1"/>
                <w:szCs w:val="1"/>
                <w:color w:val="auto"/>
              </w:rPr>
            </w:pPr>
          </w:p>
        </w:tc>
      </w:tr>
      <w:tr>
        <w:trPr>
          <w:trHeight w:val="263"/>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Effect from derivative liabilities from investor warrants</w:t>
            </w:r>
          </w:p>
        </w:tc>
        <w:tc>
          <w:tcPr>
            <w:tcW w:w="4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(2,714)</w:t>
            </w:r>
          </w:p>
        </w:tc>
        <w:tc>
          <w:tcPr>
            <w:tcW w:w="0" w:type="dxa"/>
            <w:vAlign w:val="bottom"/>
          </w:tcPr>
          <w:p>
            <w:pPr>
              <w:spacing w:after="0"/>
              <w:rPr>
                <w:sz w:val="1"/>
                <w:szCs w:val="1"/>
                <w:color w:val="auto"/>
              </w:rPr>
            </w:pPr>
          </w:p>
        </w:tc>
      </w:tr>
      <w:tr>
        <w:trPr>
          <w:trHeight w:val="263"/>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Total equity</w:t>
            </w:r>
          </w:p>
        </w:tc>
        <w:tc>
          <w:tcPr>
            <w:tcW w:w="4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1,253</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(4,729)</w:t>
            </w:r>
          </w:p>
        </w:tc>
        <w:tc>
          <w:tcPr>
            <w:tcW w:w="0" w:type="dxa"/>
            <w:vAlign w:val="bottom"/>
          </w:tcPr>
          <w:p>
            <w:pPr>
              <w:spacing w:after="0"/>
              <w:rPr>
                <w:sz w:val="1"/>
                <w:szCs w:val="1"/>
                <w:color w:val="auto"/>
              </w:rPr>
            </w:pPr>
          </w:p>
        </w:tc>
      </w:tr>
      <w:tr>
        <w:trPr>
          <w:trHeight w:val="264"/>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Total liabilities and equity</w:t>
            </w:r>
          </w:p>
        </w:tc>
        <w:tc>
          <w:tcPr>
            <w:tcW w:w="4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15,231</w:t>
            </w:r>
          </w:p>
        </w:tc>
        <w:tc>
          <w:tcPr>
            <w:tcW w:w="3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12,889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Based on the company’s current cash position with an expected cash runway into February 2025, income from business development deals and/or further funding is required to mitigate the conclusion that there is significant doubt about the company’s ability to continue as a going concern. Please refer to the Form 20-F, filed March 27, 2024, for additional background on the company.</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shared earlier, the company received on May 7, 2024, a Nasdaq equity deficiency letter. This deficiency is partly a consequence of the IFRS accounting treatment of the company’s investor warrants which has been reversed as described above. A plan to regain compliance has been shared with and accepted by Nasdaq providing until November 04, 2024, to evidence compliance.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Evaxion Biotech A/S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Consolidated Statement of Comprehensive Loss Data (Unaudited)</w:t>
      </w:r>
    </w:p>
    <w:p>
      <w:pPr>
        <w:jc w:val="center"/>
        <w:spacing w:after="0"/>
        <w:rPr>
          <w:sz w:val="20"/>
          <w:szCs w:val="20"/>
          <w:color w:val="auto"/>
        </w:rPr>
      </w:pPr>
      <w:r>
        <w:rPr>
          <w:rFonts w:ascii="Times New Roman" w:cs="Times New Roman" w:eastAsia="Times New Roman" w:hAnsi="Times New Roman"/>
          <w:sz w:val="22"/>
          <w:szCs w:val="22"/>
          <w:color w:val="auto"/>
        </w:rPr>
        <w:t>(USD in thousands, except per share data)</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4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80" w:type="dxa"/>
            <w:vAlign w:val="bottom"/>
            <w:gridSpan w:val="3"/>
          </w:tcPr>
          <w:p>
            <w:pPr>
              <w:jc w:val="right"/>
              <w:ind w:right="712"/>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400" w:type="dxa"/>
            <w:vAlign w:val="bottom"/>
          </w:tcPr>
          <w:p>
            <w:pPr>
              <w:spacing w:after="0"/>
              <w:rPr>
                <w:sz w:val="24"/>
                <w:szCs w:val="24"/>
                <w:color w:val="auto"/>
              </w:rPr>
            </w:pPr>
          </w:p>
        </w:tc>
        <w:tc>
          <w:tcPr>
            <w:tcW w:w="2800" w:type="dxa"/>
            <w:vAlign w:val="bottom"/>
            <w:gridSpan w:val="3"/>
          </w:tcPr>
          <w:p>
            <w:pPr>
              <w:jc w:val="right"/>
              <w:ind w:right="652"/>
              <w:spacing w:after="0"/>
              <w:rPr>
                <w:sz w:val="20"/>
                <w:szCs w:val="20"/>
                <w:color w:val="auto"/>
              </w:rPr>
            </w:pPr>
            <w:r>
              <w:rPr>
                <w:rFonts w:ascii="Times New Roman" w:cs="Times New Roman" w:eastAsia="Times New Roman" w:hAnsi="Times New Roman"/>
                <w:sz w:val="22"/>
                <w:szCs w:val="22"/>
                <w:b w:val="1"/>
                <w:bCs w:val="1"/>
                <w:color w:val="auto"/>
              </w:rPr>
              <w:t>Six Months Ended</w:t>
            </w:r>
          </w:p>
        </w:tc>
        <w:tc>
          <w:tcPr>
            <w:tcW w:w="0" w:type="dxa"/>
            <w:vAlign w:val="bottom"/>
          </w:tcPr>
          <w:p>
            <w:pPr>
              <w:spacing w:after="0"/>
              <w:rPr>
                <w:sz w:val="1"/>
                <w:szCs w:val="1"/>
                <w:color w:val="auto"/>
              </w:rPr>
            </w:pPr>
          </w:p>
        </w:tc>
      </w:tr>
      <w:tr>
        <w:trPr>
          <w:trHeight w:val="486"/>
        </w:trPr>
        <w:tc>
          <w:tcPr>
            <w:tcW w:w="4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June 30,</w:t>
            </w: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June 30,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4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2023</w:t>
            </w: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100" w:type="dxa"/>
            <w:vAlign w:val="bottom"/>
            <w:gridSpan w:val="6"/>
          </w:tcPr>
          <w:p>
            <w:pPr>
              <w:jc w:val="right"/>
              <w:spacing w:after="0" w:line="249" w:lineRule="exact"/>
              <w:rPr>
                <w:sz w:val="20"/>
                <w:szCs w:val="20"/>
                <w:color w:val="auto"/>
              </w:rPr>
            </w:pPr>
            <w:r>
              <w:rPr>
                <w:rFonts w:ascii="Times New Roman" w:cs="Times New Roman" w:eastAsia="Times New Roman" w:hAnsi="Times New Roman"/>
                <w:sz w:val="22"/>
                <w:szCs w:val="22"/>
                <w:b w:val="1"/>
                <w:bCs w:val="1"/>
                <w:color w:val="auto"/>
              </w:rPr>
              <w:t>(USD in thousands, except per share amounts)</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Times New Roman" w:cs="Times New Roman" w:eastAsia="Times New Roman" w:hAnsi="Times New Roman"/>
                <w:sz w:val="22"/>
                <w:szCs w:val="22"/>
                <w:color w:val="auto"/>
              </w:rPr>
              <w:t>Revenue</w:t>
            </w: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154</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205</w:t>
            </w:r>
          </w:p>
        </w:tc>
        <w:tc>
          <w:tcPr>
            <w:tcW w:w="4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Times New Roman" w:cs="Times New Roman" w:eastAsia="Times New Roman" w:hAnsi="Times New Roman"/>
                <w:sz w:val="22"/>
                <w:szCs w:val="22"/>
                <w:color w:val="auto"/>
              </w:rPr>
              <w:t>Research and development</w:t>
            </w:r>
          </w:p>
        </w:tc>
        <w:tc>
          <w:tcPr>
            <w:tcW w:w="56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(2,752)</w:t>
            </w:r>
          </w:p>
        </w:tc>
        <w:tc>
          <w:tcPr>
            <w:tcW w:w="44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(2,936)</w:t>
            </w:r>
          </w:p>
        </w:tc>
        <w:tc>
          <w:tcPr>
            <w:tcW w:w="40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(5,588)</w:t>
            </w:r>
          </w:p>
        </w:tc>
        <w:tc>
          <w:tcPr>
            <w:tcW w:w="4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(6,788)</w:t>
            </w:r>
          </w:p>
        </w:tc>
        <w:tc>
          <w:tcPr>
            <w:tcW w:w="0" w:type="dxa"/>
            <w:vAlign w:val="bottom"/>
          </w:tcPr>
          <w:p>
            <w:pPr>
              <w:spacing w:after="0"/>
              <w:rPr>
                <w:sz w:val="1"/>
                <w:szCs w:val="1"/>
                <w:color w:val="auto"/>
              </w:rPr>
            </w:pPr>
          </w:p>
        </w:tc>
      </w:tr>
      <w:tr>
        <w:trPr>
          <w:trHeight w:val="282"/>
        </w:trPr>
        <w:tc>
          <w:tcPr>
            <w:tcW w:w="4480" w:type="dxa"/>
            <w:vAlign w:val="bottom"/>
          </w:tcPr>
          <w:p>
            <w:pPr>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56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(1,983)</w:t>
            </w:r>
          </w:p>
        </w:tc>
        <w:tc>
          <w:tcPr>
            <w:tcW w:w="440" w:type="dxa"/>
            <w:vAlign w:val="bottom"/>
          </w:tcPr>
          <w:p>
            <w:pPr>
              <w:spacing w:after="0"/>
              <w:rPr>
                <w:sz w:val="24"/>
                <w:szCs w:val="24"/>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(2,741)</w:t>
            </w:r>
          </w:p>
        </w:tc>
        <w:tc>
          <w:tcPr>
            <w:tcW w:w="400" w:type="dxa"/>
            <w:vAlign w:val="bottom"/>
          </w:tcPr>
          <w:p>
            <w:pPr>
              <w:spacing w:after="0"/>
              <w:rPr>
                <w:sz w:val="24"/>
                <w:szCs w:val="24"/>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(3,594)</w:t>
            </w: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(5,283)</w:t>
            </w:r>
          </w:p>
        </w:tc>
        <w:tc>
          <w:tcPr>
            <w:tcW w:w="0" w:type="dxa"/>
            <w:vAlign w:val="bottom"/>
          </w:tcPr>
          <w:p>
            <w:pPr>
              <w:spacing w:after="0"/>
              <w:rPr>
                <w:sz w:val="1"/>
                <w:szCs w:val="1"/>
                <w:color w:val="auto"/>
              </w:rPr>
            </w:pPr>
          </w:p>
        </w:tc>
      </w:tr>
      <w:tr>
        <w:trPr>
          <w:trHeight w:val="271"/>
        </w:trPr>
        <w:tc>
          <w:tcPr>
            <w:tcW w:w="44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Operating loss</w:t>
            </w:r>
          </w:p>
        </w:tc>
        <w:tc>
          <w:tcPr>
            <w:tcW w:w="5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8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jc w:val="right"/>
              <w:ind w:right="32"/>
              <w:spacing w:after="0" w:line="249" w:lineRule="exact"/>
              <w:rPr>
                <w:sz w:val="20"/>
                <w:szCs w:val="20"/>
                <w:color w:val="auto"/>
              </w:rPr>
            </w:pPr>
            <w:r>
              <w:rPr>
                <w:rFonts w:ascii="Times New Roman" w:cs="Times New Roman" w:eastAsia="Times New Roman" w:hAnsi="Times New Roman"/>
                <w:sz w:val="22"/>
                <w:szCs w:val="22"/>
                <w:b w:val="1"/>
                <w:bCs w:val="1"/>
                <w:color w:val="auto"/>
              </w:rPr>
              <w:t>(4,581)</w:t>
            </w:r>
          </w:p>
        </w:tc>
        <w:tc>
          <w:tcPr>
            <w:tcW w:w="440" w:type="dxa"/>
            <w:vAlign w:val="bottom"/>
          </w:tcPr>
          <w:p>
            <w:pPr>
              <w:spacing w:after="0"/>
              <w:rPr>
                <w:sz w:val="21"/>
                <w:szCs w:val="21"/>
                <w:color w:val="auto"/>
              </w:rPr>
            </w:pPr>
          </w:p>
        </w:tc>
        <w:tc>
          <w:tcPr>
            <w:tcW w:w="1260" w:type="dxa"/>
            <w:vAlign w:val="bottom"/>
          </w:tcPr>
          <w:p>
            <w:pPr>
              <w:jc w:val="right"/>
              <w:ind w:right="32"/>
              <w:spacing w:after="0" w:line="249" w:lineRule="exact"/>
              <w:rPr>
                <w:sz w:val="20"/>
                <w:szCs w:val="20"/>
                <w:color w:val="auto"/>
              </w:rPr>
            </w:pPr>
            <w:r>
              <w:rPr>
                <w:rFonts w:ascii="Times New Roman" w:cs="Times New Roman" w:eastAsia="Times New Roman" w:hAnsi="Times New Roman"/>
                <w:sz w:val="22"/>
                <w:szCs w:val="22"/>
                <w:b w:val="1"/>
                <w:bCs w:val="1"/>
                <w:color w:val="auto"/>
              </w:rPr>
              <w:t>(5,677)</w:t>
            </w:r>
          </w:p>
        </w:tc>
        <w:tc>
          <w:tcPr>
            <w:tcW w:w="400" w:type="dxa"/>
            <w:vAlign w:val="bottom"/>
          </w:tcPr>
          <w:p>
            <w:pPr>
              <w:spacing w:after="0"/>
              <w:rPr>
                <w:sz w:val="21"/>
                <w:szCs w:val="21"/>
                <w:color w:val="auto"/>
              </w:rPr>
            </w:pPr>
          </w:p>
        </w:tc>
        <w:tc>
          <w:tcPr>
            <w:tcW w:w="1260" w:type="dxa"/>
            <w:vAlign w:val="bottom"/>
          </w:tcPr>
          <w:p>
            <w:pPr>
              <w:jc w:val="right"/>
              <w:ind w:right="32"/>
              <w:spacing w:after="0" w:line="249" w:lineRule="exact"/>
              <w:rPr>
                <w:sz w:val="20"/>
                <w:szCs w:val="20"/>
                <w:color w:val="auto"/>
              </w:rPr>
            </w:pPr>
            <w:r>
              <w:rPr>
                <w:rFonts w:ascii="Times New Roman" w:cs="Times New Roman" w:eastAsia="Times New Roman" w:hAnsi="Times New Roman"/>
                <w:sz w:val="22"/>
                <w:szCs w:val="22"/>
                <w:b w:val="1"/>
                <w:bCs w:val="1"/>
                <w:color w:val="auto"/>
              </w:rPr>
              <w:t>(8,977)</w:t>
            </w:r>
          </w:p>
        </w:tc>
        <w:tc>
          <w:tcPr>
            <w:tcW w:w="460" w:type="dxa"/>
            <w:vAlign w:val="bottom"/>
          </w:tcPr>
          <w:p>
            <w:pPr>
              <w:spacing w:after="0"/>
              <w:rPr>
                <w:sz w:val="21"/>
                <w:szCs w:val="21"/>
                <w:color w:val="auto"/>
              </w:rPr>
            </w:pPr>
          </w:p>
        </w:tc>
        <w:tc>
          <w:tcPr>
            <w:tcW w:w="10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b w:val="1"/>
                <w:bCs w:val="1"/>
                <w:color w:val="auto"/>
              </w:rPr>
              <w:t>(12,071)</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Times New Roman" w:cs="Times New Roman" w:eastAsia="Times New Roman" w:hAnsi="Times New Roman"/>
                <w:sz w:val="22"/>
                <w:szCs w:val="22"/>
                <w:color w:val="auto"/>
              </w:rPr>
              <w:t>Finance income</w:t>
            </w:r>
          </w:p>
        </w:tc>
        <w:tc>
          <w:tcPr>
            <w:tcW w:w="56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220</w:t>
            </w:r>
          </w:p>
        </w:tc>
        <w:tc>
          <w:tcPr>
            <w:tcW w:w="44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47</w:t>
            </w:r>
          </w:p>
        </w:tc>
        <w:tc>
          <w:tcPr>
            <w:tcW w:w="40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5,838</w:t>
            </w:r>
          </w:p>
        </w:tc>
        <w:tc>
          <w:tcPr>
            <w:tcW w:w="4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332</w:t>
            </w:r>
          </w:p>
        </w:tc>
        <w:tc>
          <w:tcPr>
            <w:tcW w:w="0" w:type="dxa"/>
            <w:vAlign w:val="bottom"/>
          </w:tcPr>
          <w:p>
            <w:pPr>
              <w:spacing w:after="0"/>
              <w:rPr>
                <w:sz w:val="1"/>
                <w:szCs w:val="1"/>
                <w:color w:val="auto"/>
              </w:rPr>
            </w:pPr>
          </w:p>
        </w:tc>
      </w:tr>
      <w:tr>
        <w:trPr>
          <w:trHeight w:val="282"/>
        </w:trPr>
        <w:tc>
          <w:tcPr>
            <w:tcW w:w="4480" w:type="dxa"/>
            <w:vAlign w:val="bottom"/>
          </w:tcPr>
          <w:p>
            <w:pPr>
              <w:spacing w:after="0"/>
              <w:rPr>
                <w:sz w:val="20"/>
                <w:szCs w:val="20"/>
                <w:color w:val="auto"/>
              </w:rPr>
            </w:pPr>
            <w:r>
              <w:rPr>
                <w:rFonts w:ascii="Times New Roman" w:cs="Times New Roman" w:eastAsia="Times New Roman" w:hAnsi="Times New Roman"/>
                <w:sz w:val="22"/>
                <w:szCs w:val="22"/>
                <w:color w:val="auto"/>
              </w:rPr>
              <w:t>Finance expenses</w:t>
            </w:r>
          </w:p>
        </w:tc>
        <w:tc>
          <w:tcPr>
            <w:tcW w:w="56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(2,036)</w:t>
            </w:r>
          </w:p>
        </w:tc>
        <w:tc>
          <w:tcPr>
            <w:tcW w:w="440" w:type="dxa"/>
            <w:vAlign w:val="bottom"/>
          </w:tcPr>
          <w:p>
            <w:pPr>
              <w:spacing w:after="0"/>
              <w:rPr>
                <w:sz w:val="24"/>
                <w:szCs w:val="24"/>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(278)</w:t>
            </w:r>
          </w:p>
        </w:tc>
        <w:tc>
          <w:tcPr>
            <w:tcW w:w="400" w:type="dxa"/>
            <w:vAlign w:val="bottom"/>
          </w:tcPr>
          <w:p>
            <w:pPr>
              <w:spacing w:after="0"/>
              <w:rPr>
                <w:sz w:val="24"/>
                <w:szCs w:val="24"/>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(2,282)</w:t>
            </w: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(604)</w:t>
            </w:r>
          </w:p>
        </w:tc>
        <w:tc>
          <w:tcPr>
            <w:tcW w:w="0" w:type="dxa"/>
            <w:vAlign w:val="bottom"/>
          </w:tcPr>
          <w:p>
            <w:pPr>
              <w:spacing w:after="0"/>
              <w:rPr>
                <w:sz w:val="1"/>
                <w:szCs w:val="1"/>
                <w:color w:val="auto"/>
              </w:rPr>
            </w:pPr>
          </w:p>
        </w:tc>
      </w:tr>
      <w:tr>
        <w:trPr>
          <w:trHeight w:val="271"/>
        </w:trPr>
        <w:tc>
          <w:tcPr>
            <w:tcW w:w="44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Net loss before tax</w:t>
            </w:r>
          </w:p>
        </w:tc>
        <w:tc>
          <w:tcPr>
            <w:tcW w:w="5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480" w:type="dxa"/>
            <w:vAlign w:val="bottom"/>
            <w:vMerge w:val="continue"/>
          </w:tcPr>
          <w:p>
            <w:pPr>
              <w:spacing w:after="0"/>
              <w:rPr>
                <w:sz w:val="22"/>
                <w:szCs w:val="22"/>
                <w:color w:val="auto"/>
              </w:rPr>
            </w:pP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w:t>
            </w: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(6,198)</w:t>
            </w:r>
          </w:p>
        </w:tc>
        <w:tc>
          <w:tcPr>
            <w:tcW w:w="4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(5,908)</w:t>
            </w:r>
          </w:p>
        </w:tc>
        <w:tc>
          <w:tcPr>
            <w:tcW w:w="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(5,421)</w:t>
            </w:r>
          </w:p>
        </w:tc>
        <w:tc>
          <w:tcPr>
            <w:tcW w:w="4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(12,343)</w:t>
            </w:r>
          </w:p>
        </w:tc>
        <w:tc>
          <w:tcPr>
            <w:tcW w:w="0" w:type="dxa"/>
            <w:vAlign w:val="bottom"/>
          </w:tcPr>
          <w:p>
            <w:pPr>
              <w:spacing w:after="0"/>
              <w:rPr>
                <w:sz w:val="1"/>
                <w:szCs w:val="1"/>
                <w:color w:val="auto"/>
              </w:rPr>
            </w:pPr>
          </w:p>
        </w:tc>
      </w:tr>
      <w:tr>
        <w:trPr>
          <w:trHeight w:val="263"/>
        </w:trPr>
        <w:tc>
          <w:tcPr>
            <w:tcW w:w="448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5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199</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225</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417</w:t>
            </w:r>
          </w:p>
        </w:tc>
        <w:tc>
          <w:tcPr>
            <w:tcW w:w="4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419</w:t>
            </w:r>
          </w:p>
        </w:tc>
        <w:tc>
          <w:tcPr>
            <w:tcW w:w="0" w:type="dxa"/>
            <w:vAlign w:val="bottom"/>
          </w:tcPr>
          <w:p>
            <w:pPr>
              <w:spacing w:after="0"/>
              <w:rPr>
                <w:sz w:val="1"/>
                <w:szCs w:val="1"/>
                <w:color w:val="auto"/>
              </w:rPr>
            </w:pPr>
          </w:p>
        </w:tc>
      </w:tr>
      <w:tr>
        <w:trPr>
          <w:trHeight w:val="264"/>
        </w:trPr>
        <w:tc>
          <w:tcPr>
            <w:tcW w:w="44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loss for the period</w:t>
            </w: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w:t>
            </w: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(6,198)</w:t>
            </w:r>
          </w:p>
        </w:tc>
        <w:tc>
          <w:tcPr>
            <w:tcW w:w="4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(5,683)</w:t>
            </w:r>
          </w:p>
        </w:tc>
        <w:tc>
          <w:tcPr>
            <w:tcW w:w="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(5,004)</w:t>
            </w:r>
          </w:p>
        </w:tc>
        <w:tc>
          <w:tcPr>
            <w:tcW w:w="4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(11,924)</w:t>
            </w:r>
          </w:p>
        </w:tc>
        <w:tc>
          <w:tcPr>
            <w:tcW w:w="0" w:type="dxa"/>
            <w:vAlign w:val="bottom"/>
          </w:tcPr>
          <w:p>
            <w:pPr>
              <w:spacing w:after="0"/>
              <w:rPr>
                <w:sz w:val="1"/>
                <w:szCs w:val="1"/>
                <w:color w:val="auto"/>
              </w:rPr>
            </w:pPr>
          </w:p>
        </w:tc>
      </w:tr>
      <w:tr>
        <w:trPr>
          <w:trHeight w:val="205"/>
        </w:trPr>
        <w:tc>
          <w:tcPr>
            <w:tcW w:w="4480" w:type="dxa"/>
            <w:vAlign w:val="bottom"/>
          </w:tcPr>
          <w:p>
            <w:pPr>
              <w:spacing w:after="0" w:line="205" w:lineRule="exact"/>
              <w:rPr>
                <w:sz w:val="20"/>
                <w:szCs w:val="20"/>
                <w:color w:val="auto"/>
              </w:rPr>
            </w:pPr>
            <w:r>
              <w:rPr>
                <w:rFonts w:ascii="Times New Roman" w:cs="Times New Roman" w:eastAsia="Times New Roman" w:hAnsi="Times New Roman"/>
                <w:sz w:val="22"/>
                <w:szCs w:val="22"/>
                <w:b w:val="1"/>
                <w:bCs w:val="1"/>
                <w:color w:val="auto"/>
                <w:w w:val="99"/>
              </w:rPr>
              <w:t>Net loss attributable to shareholders of Evaxion</w:t>
            </w:r>
          </w:p>
        </w:tc>
        <w:tc>
          <w:tcPr>
            <w:tcW w:w="560" w:type="dxa"/>
            <w:vAlign w:val="bottom"/>
            <w:vMerge w:val="restart"/>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w:t>
            </w:r>
          </w:p>
        </w:tc>
        <w:tc>
          <w:tcPr>
            <w:tcW w:w="128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(6,198)</w:t>
            </w:r>
          </w:p>
        </w:tc>
        <w:tc>
          <w:tcPr>
            <w:tcW w:w="4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w:t>
            </w:r>
          </w:p>
        </w:tc>
        <w:tc>
          <w:tcPr>
            <w:tcW w:w="126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(5,683)</w:t>
            </w:r>
          </w:p>
        </w:tc>
        <w:tc>
          <w:tcPr>
            <w:tcW w:w="40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w:t>
            </w:r>
          </w:p>
        </w:tc>
        <w:tc>
          <w:tcPr>
            <w:tcW w:w="126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(5,004)</w:t>
            </w:r>
          </w:p>
        </w:tc>
        <w:tc>
          <w:tcPr>
            <w:tcW w:w="46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(11,924)</w:t>
            </w:r>
          </w:p>
        </w:tc>
        <w:tc>
          <w:tcPr>
            <w:tcW w:w="0" w:type="dxa"/>
            <w:vAlign w:val="bottom"/>
          </w:tcPr>
          <w:p>
            <w:pPr>
              <w:spacing w:after="0"/>
              <w:rPr>
                <w:sz w:val="1"/>
                <w:szCs w:val="1"/>
                <w:color w:val="auto"/>
              </w:rPr>
            </w:pPr>
          </w:p>
        </w:tc>
      </w:tr>
      <w:tr>
        <w:trPr>
          <w:trHeight w:val="266"/>
        </w:trPr>
        <w:tc>
          <w:tcPr>
            <w:tcW w:w="44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Biotech A/S</w:t>
            </w:r>
          </w:p>
        </w:tc>
        <w:tc>
          <w:tcPr>
            <w:tcW w:w="560" w:type="dxa"/>
            <w:vAlign w:val="bottom"/>
            <w:tcBorders>
              <w:bottom w:val="single" w:sz="8" w:color="auto"/>
            </w:tcBorders>
            <w:vMerge w:val="continue"/>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400" w:type="dxa"/>
            <w:vAlign w:val="bottom"/>
            <w:tcBorders>
              <w:bottom w:val="single" w:sz="8" w:color="auto"/>
            </w:tcBorders>
            <w:vMerge w:val="continue"/>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46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Loss per share – basic and diluted</w:t>
            </w: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480" w:type="dxa"/>
            <w:vAlign w:val="bottom"/>
            <w:vMerge w:val="continue"/>
          </w:tcPr>
          <w:p>
            <w:pPr>
              <w:spacing w:after="0"/>
              <w:rPr>
                <w:sz w:val="21"/>
                <w:szCs w:val="21"/>
                <w:color w:val="auto"/>
              </w:rPr>
            </w:pPr>
          </w:p>
        </w:tc>
        <w:tc>
          <w:tcPr>
            <w:tcW w:w="560" w:type="dxa"/>
            <w:vAlign w:val="bottom"/>
          </w:tcPr>
          <w:p>
            <w:pPr>
              <w:jc w:val="right"/>
              <w:ind w:right="52"/>
              <w:spacing w:after="0" w:line="249"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Pr>
          <w:p>
            <w:pPr>
              <w:jc w:val="right"/>
              <w:ind w:right="32"/>
              <w:spacing w:after="0" w:line="249" w:lineRule="exact"/>
              <w:rPr>
                <w:sz w:val="20"/>
                <w:szCs w:val="20"/>
                <w:color w:val="auto"/>
              </w:rPr>
            </w:pPr>
            <w:r>
              <w:rPr>
                <w:rFonts w:ascii="Times New Roman" w:cs="Times New Roman" w:eastAsia="Times New Roman" w:hAnsi="Times New Roman"/>
                <w:sz w:val="22"/>
                <w:szCs w:val="22"/>
                <w:color w:val="auto"/>
              </w:rPr>
              <w:t>(0.12)</w:t>
            </w:r>
          </w:p>
        </w:tc>
        <w:tc>
          <w:tcPr>
            <w:tcW w:w="440" w:type="dxa"/>
            <w:vAlign w:val="bottom"/>
          </w:tcPr>
          <w:p>
            <w:pPr>
              <w:jc w:val="right"/>
              <w:ind w:right="72"/>
              <w:spacing w:after="0" w:line="249" w:lineRule="exact"/>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ind w:right="32"/>
              <w:spacing w:after="0" w:line="249" w:lineRule="exact"/>
              <w:rPr>
                <w:sz w:val="20"/>
                <w:szCs w:val="20"/>
                <w:color w:val="auto"/>
              </w:rPr>
            </w:pPr>
            <w:r>
              <w:rPr>
                <w:rFonts w:ascii="Times New Roman" w:cs="Times New Roman" w:eastAsia="Times New Roman" w:hAnsi="Times New Roman"/>
                <w:sz w:val="22"/>
                <w:szCs w:val="22"/>
                <w:color w:val="auto"/>
              </w:rPr>
              <w:t>(0.21)</w:t>
            </w:r>
          </w:p>
        </w:tc>
        <w:tc>
          <w:tcPr>
            <w:tcW w:w="400" w:type="dxa"/>
            <w:vAlign w:val="bottom"/>
          </w:tcPr>
          <w:p>
            <w:pPr>
              <w:jc w:val="right"/>
              <w:ind w:right="32"/>
              <w:spacing w:after="0" w:line="249" w:lineRule="exact"/>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ind w:right="32"/>
              <w:spacing w:after="0" w:line="249" w:lineRule="exact"/>
              <w:rPr>
                <w:sz w:val="20"/>
                <w:szCs w:val="20"/>
                <w:color w:val="auto"/>
              </w:rPr>
            </w:pPr>
            <w:r>
              <w:rPr>
                <w:rFonts w:ascii="Times New Roman" w:cs="Times New Roman" w:eastAsia="Times New Roman" w:hAnsi="Times New Roman"/>
                <w:sz w:val="22"/>
                <w:szCs w:val="22"/>
                <w:color w:val="auto"/>
              </w:rPr>
              <w:t>(0.10)</w:t>
            </w:r>
          </w:p>
        </w:tc>
        <w:tc>
          <w:tcPr>
            <w:tcW w:w="460" w:type="dxa"/>
            <w:vAlign w:val="bottom"/>
          </w:tcPr>
          <w:p>
            <w:pPr>
              <w:jc w:val="right"/>
              <w:ind w:right="112"/>
              <w:spacing w:after="0" w:line="249"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(0.46)</w:t>
            </w:r>
          </w:p>
        </w:tc>
        <w:tc>
          <w:tcPr>
            <w:tcW w:w="0" w:type="dxa"/>
            <w:vAlign w:val="bottom"/>
          </w:tcPr>
          <w:p>
            <w:pPr>
              <w:spacing w:after="0"/>
              <w:rPr>
                <w:sz w:val="1"/>
                <w:szCs w:val="1"/>
                <w:color w:val="auto"/>
              </w:rPr>
            </w:pPr>
          </w:p>
        </w:tc>
      </w:tr>
      <w:tr>
        <w:trPr>
          <w:trHeight w:val="243"/>
        </w:trPr>
        <w:tc>
          <w:tcPr>
            <w:tcW w:w="4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Number of shares used for calculation (basic and</w:t>
            </w:r>
          </w:p>
        </w:tc>
        <w:tc>
          <w:tcPr>
            <w:tcW w:w="560" w:type="dxa"/>
            <w:vAlign w:val="bottom"/>
          </w:tcPr>
          <w:p>
            <w:pPr>
              <w:spacing w:after="0"/>
              <w:rPr>
                <w:sz w:val="21"/>
                <w:szCs w:val="21"/>
                <w:color w:val="auto"/>
              </w:rPr>
            </w:pPr>
          </w:p>
        </w:tc>
        <w:tc>
          <w:tcPr>
            <w:tcW w:w="128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53,787,469</w:t>
            </w:r>
          </w:p>
        </w:tc>
        <w:tc>
          <w:tcPr>
            <w:tcW w:w="440" w:type="dxa"/>
            <w:vAlign w:val="bottom"/>
          </w:tcPr>
          <w:p>
            <w:pPr>
              <w:spacing w:after="0"/>
              <w:rPr>
                <w:sz w:val="21"/>
                <w:szCs w:val="21"/>
                <w:color w:val="auto"/>
              </w:rPr>
            </w:pPr>
          </w:p>
        </w:tc>
        <w:tc>
          <w:tcPr>
            <w:tcW w:w="126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26,438,007</w:t>
            </w:r>
          </w:p>
        </w:tc>
        <w:tc>
          <w:tcPr>
            <w:tcW w:w="400" w:type="dxa"/>
            <w:vAlign w:val="bottom"/>
          </w:tcPr>
          <w:p>
            <w:pPr>
              <w:spacing w:after="0"/>
              <w:rPr>
                <w:sz w:val="21"/>
                <w:szCs w:val="21"/>
                <w:color w:val="auto"/>
              </w:rPr>
            </w:pPr>
          </w:p>
        </w:tc>
        <w:tc>
          <w:tcPr>
            <w:tcW w:w="126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50,212,854</w:t>
            </w:r>
          </w:p>
        </w:tc>
        <w:tc>
          <w:tcPr>
            <w:tcW w:w="46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26,112,734</w:t>
            </w:r>
          </w:p>
        </w:tc>
        <w:tc>
          <w:tcPr>
            <w:tcW w:w="0" w:type="dxa"/>
            <w:vAlign w:val="bottom"/>
          </w:tcPr>
          <w:p>
            <w:pPr>
              <w:spacing w:after="0"/>
              <w:rPr>
                <w:sz w:val="1"/>
                <w:szCs w:val="1"/>
                <w:color w:val="auto"/>
              </w:rPr>
            </w:pPr>
          </w:p>
        </w:tc>
      </w:tr>
      <w:tr>
        <w:trPr>
          <w:trHeight w:val="282"/>
        </w:trPr>
        <w:tc>
          <w:tcPr>
            <w:tcW w:w="4480" w:type="dxa"/>
            <w:vAlign w:val="bottom"/>
          </w:tcPr>
          <w:p>
            <w:pPr>
              <w:spacing w:after="0"/>
              <w:rPr>
                <w:sz w:val="20"/>
                <w:szCs w:val="20"/>
                <w:color w:val="auto"/>
              </w:rPr>
            </w:pPr>
            <w:r>
              <w:rPr>
                <w:rFonts w:ascii="Times New Roman" w:cs="Times New Roman" w:eastAsia="Times New Roman" w:hAnsi="Times New Roman"/>
                <w:sz w:val="22"/>
                <w:szCs w:val="22"/>
                <w:color w:val="auto"/>
              </w:rPr>
              <w:t>diluted)</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232"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Evaxion Biotech A/S</w:t>
      </w:r>
    </w:p>
    <w:p>
      <w:pPr>
        <w:spacing w:after="0"/>
        <w:tabs>
          <w:tab w:leader="none" w:pos="1800" w:val="left"/>
        </w:tabs>
        <w:rPr>
          <w:sz w:val="20"/>
          <w:szCs w:val="20"/>
          <w:color w:val="auto"/>
        </w:rPr>
      </w:pPr>
      <w:r>
        <w:rPr>
          <w:rFonts w:ascii="Times New Roman" w:cs="Times New Roman" w:eastAsia="Times New Roman" w:hAnsi="Times New Roman"/>
          <w:sz w:val="22"/>
          <w:szCs w:val="22"/>
          <w:color w:val="auto"/>
        </w:rPr>
        <w:t>Mads Kronborg</w:t>
      </w:r>
      <w:r>
        <w:rPr>
          <w:sz w:val="20"/>
          <w:szCs w:val="20"/>
          <w:color w:val="auto"/>
        </w:rPr>
        <w:tab/>
      </w:r>
      <w:r>
        <w:rPr>
          <w:rFonts w:ascii="Times New Roman" w:cs="Times New Roman" w:eastAsia="Times New Roman" w:hAnsi="Times New Roman"/>
          <w:sz w:val="19"/>
          <w:szCs w:val="19"/>
          <w:color w:val="auto"/>
        </w:rPr>
        <w:t> </w:t>
      </w:r>
    </w:p>
    <w:p>
      <w:pPr>
        <w:spacing w:after="0" w:line="231" w:lineRule="auto"/>
        <w:rPr>
          <w:sz w:val="20"/>
          <w:szCs w:val="20"/>
          <w:color w:val="auto"/>
        </w:rPr>
      </w:pPr>
      <w:r>
        <w:rPr>
          <w:rFonts w:ascii="Times New Roman" w:cs="Times New Roman" w:eastAsia="Times New Roman" w:hAnsi="Times New Roman"/>
          <w:sz w:val="22"/>
          <w:szCs w:val="22"/>
          <w:color w:val="auto"/>
        </w:rPr>
        <w:t>Vice President, Investor Relations &amp; Communication</w:t>
      </w:r>
    </w:p>
    <w:p>
      <w:pPr>
        <w:spacing w:after="0" w:line="230" w:lineRule="auto"/>
        <w:rPr>
          <w:sz w:val="20"/>
          <w:szCs w:val="20"/>
          <w:color w:val="auto"/>
        </w:rPr>
      </w:pPr>
      <w:r>
        <w:rPr>
          <w:rFonts w:ascii="Times New Roman" w:cs="Times New Roman" w:eastAsia="Times New Roman" w:hAnsi="Times New Roman"/>
          <w:sz w:val="22"/>
          <w:szCs w:val="22"/>
          <w:color w:val="auto"/>
        </w:rPr>
        <w:t>+45 53 54 82 96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mak@evaxion-biotech.com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EVAXION</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Evaxion Biotech A/S is a pioneering TechBio company based upon its AI platform, AI-Immunology™. Evaxion's proprietary and scalable AI prediction models harness the power of artificial intelligence to decode the human immune system and develop novel immunotherapies for cancer, bacterial diseases, and viral infections. Based upon AI-Immunology™, Evaxion has developed a clinical-stage oncology pipeline of novel personalized vaccines and a preclinical infectious disease pipeline in bacterial and viral diseases with high unmet medical needs. Evaxion is committed to transforming patients' lives by providing innovative and targeted treatment options. For more information about Evaxion and its groundbreaking AI-Immunology™ platform and vaccine pipeline, please </w:t>
      </w:r>
      <w:r>
        <w:rPr>
          <w:rFonts w:ascii="Times New Roman" w:cs="Times New Roman" w:eastAsia="Times New Roman" w:hAnsi="Times New Roman"/>
          <w:sz w:val="22"/>
          <w:szCs w:val="22"/>
          <w:u w:val="single" w:color="auto"/>
          <w:color w:val="auto"/>
        </w:rPr>
        <w:t>visit our website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w:t>
      </w:r>
      <w:r>
        <w:rPr>
          <w:rFonts w:ascii="Times New Roman" w:cs="Times New Roman" w:eastAsia="Times New Roman" w:hAnsi="Times New Roman"/>
          <w:sz w:val="22"/>
          <w:szCs w:val="22"/>
          <w:color w:val="auto"/>
        </w:rPr>
        <w:t> </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the worldwide ongoing COVID-19 pandemic and the ongoing conflict in the region surrounding Ukraine and Russia and the Middle East; and other uncertainties affecting our business operations and financial condition. For a further discussion of these risks, please refer to the risk factors included in our most recent Annual Report on Form 20-F and other filings with the U.S. Securities and Exchange Commission (SEC), which are available at </w:t>
      </w:r>
      <w:r>
        <w:rPr>
          <w:rFonts w:ascii="Times New Roman" w:cs="Times New Roman" w:eastAsia="Times New Roman" w:hAnsi="Times New Roman"/>
          <w:sz w:val="21"/>
          <w:szCs w:val="21"/>
          <w:b w:val="1"/>
          <w:bCs w:val="1"/>
          <w:color w:val="auto"/>
        </w:rPr>
        <w:t>www.sec.gov</w:t>
      </w:r>
      <w:r>
        <w:rPr>
          <w:rFonts w:ascii="Times New Roman" w:cs="Times New Roman" w:eastAsia="Times New Roman" w:hAnsi="Times New Roman"/>
          <w:sz w:val="21"/>
          <w:szCs w:val="21"/>
          <w:color w:val="auto"/>
        </w:rPr>
        <w:t>. We do not assume any obligation to update any forward-looking statements except as required by law.</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2024-08-14T06:18:14Z</dcterms:created>
  <dcterms:modified xsi:type="dcterms:W3CDTF">2024-08-14T06:18:14Z</dcterms:modified>
</cp:coreProperties>
</file>