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on Form F-1, as amended (File No. 333-266050) and Form F-1 (File No. 333-276505),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March 27, 2024, Evaxion Biotech A/S (the “Company”), a clinical-stage TechBio company specializing in developing AI-Immunology™ powered vaccines, issued a press release titled “Evaxion Announces Business Update and Full Year 2023 Financial Results”. A copy of the press release is furnished as Exhibit 99.1 to this report on Form 6-K.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324" w:right="6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237"/>
        </w:trPr>
        <w:tc>
          <w:tcPr>
            <w:tcW w:w="37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0" w:type="dxa"/>
            <w:vAlign w:val="bottom"/>
          </w:tcPr>
          <w:p>
            <w:pPr>
              <w:spacing w:after="0"/>
              <w:rPr>
                <w:sz w:val="20"/>
                <w:szCs w:val="20"/>
                <w:color w:val="auto"/>
              </w:rPr>
            </w:pPr>
          </w:p>
        </w:tc>
      </w:tr>
      <w:tr>
        <w:trPr>
          <w:trHeight w:val="60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2024</w:t>
            </w:r>
          </w:p>
        </w:tc>
        <w:tc>
          <w:tcPr>
            <w:tcW w:w="28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7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Full Year 2023 Financial Results</w:t>
      </w:r>
    </w:p>
    <w:p>
      <w:pPr>
        <w:spacing w:after="0" w:line="210"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t>Precision vaccine project initiated with the ambition to obtain Preclinical Proof-of-Concept by H2 2024. The novel concept entails AI-identification of a new class of cancer vaccine targets, named endogenous retroviruses (ERVs), broadening the potential of cancer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30" w:lineRule="auto"/>
        <w:rPr>
          <w:sz w:val="20"/>
          <w:szCs w:val="20"/>
          <w:color w:val="auto"/>
        </w:rPr>
      </w:pPr>
      <w:r>
        <w:rPr>
          <w:rFonts w:ascii="Times New Roman" w:cs="Times New Roman" w:eastAsia="Times New Roman" w:hAnsi="Times New Roman"/>
          <w:sz w:val="22"/>
          <w:szCs w:val="22"/>
          <w:color w:val="auto"/>
        </w:rPr>
        <w:t>Successful completion of initial phases of vaccine collaboration with MSD (tradename of Merck &amp; Co., Inc., Rahway, NJ, USA). MSD revealed as pharma partner for the EVX-B3 bacterial vaccine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30" w:lineRule="auto"/>
        <w:rPr>
          <w:sz w:val="20"/>
          <w:szCs w:val="20"/>
          <w:color w:val="auto"/>
        </w:rPr>
      </w:pPr>
      <w:r>
        <w:rPr>
          <w:rFonts w:ascii="Times New Roman" w:cs="Times New Roman" w:eastAsia="Times New Roman" w:hAnsi="Times New Roman"/>
          <w:sz w:val="22"/>
          <w:szCs w:val="22"/>
          <w:color w:val="auto"/>
        </w:rPr>
        <w:t>Closing of $5.3 million private placement on December 21, 2023, with participation of MSD Global Health Innovation Fund (MSD GHI), a corporate venture arm of Merck &amp; Co., Inc.,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Closing of $15 million Public Offering on February 5, 2024, with participation of MSD GHI. MSD GHI is now the single largest shareholder in Evaxion, with ownership of around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7" w:lineRule="auto"/>
        <w:rPr>
          <w:sz w:val="20"/>
          <w:szCs w:val="20"/>
          <w:color w:val="auto"/>
        </w:rPr>
      </w:pPr>
      <w:r>
        <w:rPr>
          <w:rFonts w:ascii="Times New Roman" w:cs="Times New Roman" w:eastAsia="Times New Roman" w:hAnsi="Times New Roman"/>
          <w:sz w:val="22"/>
          <w:szCs w:val="22"/>
          <w:color w:val="auto"/>
        </w:rPr>
        <w:t>Evaxion hosted an R&amp;D Day on March 19, 2024. The event focused on Evaxion’s core AI-Immunology™ platform for vaccine target discovery, design and development. All presentations can be accessed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March 27, 2024 (GLOBE NEWSWIRE) -- Evaxion Biotech A/S (NASDAQ: EVAX) (“Evaxion” or the “Company”), a clinical-stage TechBio company specializing in developing AI-Immunology™ powered vaccines, today provides a business update and announces full year 2023 financial results.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Christian Kanstrup, Chief Executive Officer at Evaxion, commented: “We have made significant progress in our business and our financing strategies in recent months, notably the successful closing of our bridge financing round towards the end of 2023 and a subsequent public offering in early February 2024. We are very pleased with the MSD GHI participation in both financing rounds, following which we now have cash at hand into Q1 2025.”</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Christian continues: “With our refined strategy centered around AI-Immunology™ focusing on value realization via Targets, Pipeline and Responders based upon a muti-partner approach, we are enthusiastic about the prospects this brings for 2024. Further, we are executing to progress our ambition to fund our projected $14 million operational cash burn for 2024 through revenue generated from our business development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Updates Since Last Quarterly Update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January 2024, Evaxion announced it had commenced developing tailored novel cancer vaccines using the AI-Immunology™ platform. The initiative involves a new category of AI-identified tumor vaccine targets, ERVs, and aims to obtain preclinical Proof-of-Concept by the second half of 2024. With the AI-Immunology™ discovered novel cancer targets, designing personalized and precision vaccines may become feasible. This approach holds the potential to provide treatment solutions for cancer patients who typically do not respond to cancer immunotherapy.</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February 2024, the initial phases of an ongoing vaccine collaboration with MSD were successfully completed. The collaboration was initiated in September 2023, and in February 2024 MSD was revealed as the pharma partner for the EVX-B3 vaccine collaboration in connection with the collaboration update. The project aims to develop a vaccine against a bacterial pathogen responsible for a pressing global medical issue, lacking preventive or curative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hosted an R&amp;D Day on March 19, 2024, providing deeper insights into the validated and differentiated AI-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Immunology™ platform. Key takeaway messages from the day were:</w:t>
      </w:r>
    </w:p>
    <w:p>
      <w:pPr>
        <w:spacing w:after="0" w:line="182" w:lineRule="exact"/>
        <w:rPr>
          <w:sz w:val="20"/>
          <w:szCs w:val="20"/>
          <w:color w:val="auto"/>
        </w:rPr>
      </w:pPr>
    </w:p>
    <w:p>
      <w:pPr>
        <w:ind w:left="540" w:right="1100"/>
        <w:spacing w:after="0" w:line="241" w:lineRule="auto"/>
        <w:rPr>
          <w:sz w:val="20"/>
          <w:szCs w:val="20"/>
          <w:color w:val="auto"/>
        </w:rPr>
      </w:pPr>
      <w:r>
        <w:rPr>
          <w:rFonts w:ascii="Times New Roman" w:cs="Times New Roman" w:eastAsia="Times New Roman" w:hAnsi="Times New Roman"/>
          <w:sz w:val="22"/>
          <w:szCs w:val="22"/>
          <w:color w:val="auto"/>
        </w:rPr>
        <w:t>The proprietary AI-Immunology™ platform brings the potential for a new era in vaccine discovery, design and development using advanced AI and machine learning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0" w:lineRule="auto"/>
        <w:rPr>
          <w:sz w:val="20"/>
          <w:szCs w:val="20"/>
          <w:color w:val="auto"/>
        </w:rPr>
      </w:pPr>
      <w:r>
        <w:rPr>
          <w:rFonts w:ascii="Times New Roman" w:cs="Times New Roman" w:eastAsia="Times New Roman" w:hAnsi="Times New Roman"/>
          <w:sz w:val="22"/>
          <w:szCs w:val="22"/>
          <w:color w:val="auto"/>
        </w:rPr>
        <w:t>AI-Immunology™ outcompetes standard vaccine target discovery approaches and holds the promise of addressing serious unmet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With a unique modular architecture, AI-Immunology™ is scalable and adaptable towards partner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7" w:lineRule="auto"/>
        <w:rPr>
          <w:sz w:val="20"/>
          <w:szCs w:val="20"/>
          <w:color w:val="auto"/>
        </w:rPr>
      </w:pPr>
      <w:r>
        <w:rPr>
          <w:rFonts w:ascii="Times New Roman" w:cs="Times New Roman" w:eastAsia="Times New Roman" w:hAnsi="Times New Roman"/>
          <w:sz w:val="22"/>
          <w:szCs w:val="22"/>
          <w:color w:val="auto"/>
        </w:rPr>
        <w:t>The potential of AI-Immunology™ is validated by established partnerships, including the ongoing vaccine collaboration with MSD.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the initial months of 2024, we showcased our differentiated AI-Immunology™ platform for vaccine target discovery, design and development, alongside our refined strategy for value generation, at the following conferences:</w:t>
      </w:r>
    </w:p>
    <w:p>
      <w:pPr>
        <w:sectPr>
          <w:pgSz w:w="11900" w:h="16838" w:orient="portrait"/>
          <w:cols w:equalWidth="0" w:num="1">
            <w:col w:w="11240"/>
          </w:cols>
          <w:pgMar w:left="320" w:top="108" w:right="339" w:bottom="0" w:gutter="0" w:footer="0" w:header="0"/>
        </w:sectPr>
      </w:pPr>
    </w:p>
    <w:p>
      <w:pPr>
        <w:spacing w:after="0" w:line="172"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22"/>
          <w:szCs w:val="22"/>
          <w:color w:val="auto"/>
        </w:rPr>
        <w:t>January 8-11: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CEO Christian Kanstrup attended the 42nd annual J.P. Morgan Healthcare Conference.</w:t>
      </w:r>
    </w:p>
    <w:p>
      <w:pPr>
        <w:spacing w:after="0" w:line="284" w:lineRule="exact"/>
        <w:rPr>
          <w:sz w:val="20"/>
          <w:szCs w:val="20"/>
          <w:color w:val="auto"/>
        </w:rPr>
      </w:pPr>
    </w:p>
    <w:p>
      <w:pPr>
        <w:sectPr>
          <w:pgSz w:w="11900" w:h="16838" w:orient="portrait"/>
          <w:cols w:equalWidth="0" w:num="2">
            <w:col w:w="920" w:space="240"/>
            <w:col w:w="10080"/>
          </w:cols>
          <w:pgMar w:left="320" w:top="108" w:right="339" w:bottom="0" w:gutter="0" w:footer="0" w:header="0"/>
          <w:type w:val="continuous"/>
        </w:sectPr>
      </w:pPr>
    </w:p>
    <w:p>
      <w:pPr>
        <w:ind w:left="20"/>
        <w:spacing w:after="0" w:line="254" w:lineRule="auto"/>
        <w:rPr>
          <w:sz w:val="20"/>
          <w:szCs w:val="20"/>
          <w:color w:val="auto"/>
        </w:rPr>
      </w:pPr>
      <w:r>
        <w:rPr>
          <w:rFonts w:ascii="Times New Roman" w:cs="Times New Roman" w:eastAsia="Times New Roman" w:hAnsi="Times New Roman"/>
          <w:sz w:val="21"/>
          <w:szCs w:val="21"/>
          <w:color w:val="auto"/>
        </w:rPr>
        <w:t>February 27:</w:t>
      </w:r>
    </w:p>
    <w:p>
      <w:pPr>
        <w:spacing w:after="0" w:line="20" w:lineRule="exact"/>
        <w:rPr>
          <w:sz w:val="20"/>
          <w:szCs w:val="20"/>
          <w:color w:val="auto"/>
        </w:rPr>
      </w:pPr>
      <w:r>
        <w:rPr>
          <w:sz w:val="20"/>
          <w:szCs w:val="20"/>
          <w:color w:val="auto"/>
        </w:rPr>
        <w:br w:type="column"/>
      </w:r>
    </w:p>
    <w:p>
      <w:pPr>
        <w:ind w:right="380"/>
        <w:spacing w:after="0" w:line="243" w:lineRule="auto"/>
        <w:rPr>
          <w:sz w:val="20"/>
          <w:szCs w:val="20"/>
          <w:color w:val="auto"/>
        </w:rPr>
      </w:pPr>
      <w:r>
        <w:rPr>
          <w:rFonts w:ascii="Times New Roman" w:cs="Times New Roman" w:eastAsia="Times New Roman" w:hAnsi="Times New Roman"/>
          <w:sz w:val="22"/>
          <w:szCs w:val="22"/>
          <w:color w:val="auto"/>
        </w:rPr>
        <w:t>Chief AI Officer, Andreas Holm Mattsson, participated in a panel discussion at the Sachs Associates 5th Annual European HealthTech CEO Forum.</w:t>
      </w:r>
    </w:p>
    <w:p>
      <w:pPr>
        <w:spacing w:after="0" w:line="1" w:lineRule="exact"/>
        <w:rPr>
          <w:sz w:val="20"/>
          <w:szCs w:val="20"/>
          <w:color w:val="auto"/>
        </w:rPr>
      </w:pPr>
    </w:p>
    <w:p>
      <w:pPr>
        <w:sectPr>
          <w:pgSz w:w="11900" w:h="16838" w:orient="portrait"/>
          <w:cols w:equalWidth="0" w:num="2">
            <w:col w:w="800" w:space="360"/>
            <w:col w:w="10080"/>
          </w:cols>
          <w:pgMar w:left="320" w:top="108" w:right="339" w:bottom="0" w:gutter="0" w:footer="0" w:header="0"/>
          <w:type w:val="continuous"/>
        </w:sectPr>
      </w:pPr>
    </w:p>
    <w:p>
      <w:pPr>
        <w:ind w:left="20"/>
        <w:spacing w:after="0" w:line="254" w:lineRule="auto"/>
        <w:rPr>
          <w:sz w:val="20"/>
          <w:szCs w:val="20"/>
          <w:color w:val="auto"/>
        </w:rPr>
      </w:pPr>
      <w:r>
        <w:rPr>
          <w:rFonts w:ascii="Times New Roman" w:cs="Times New Roman" w:eastAsia="Times New Roman" w:hAnsi="Times New Roman"/>
          <w:sz w:val="21"/>
          <w:szCs w:val="21"/>
          <w:color w:val="auto"/>
        </w:rPr>
        <w:t>February 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CEO Christian Kanstrup presented the Sachs Associates 17th Annual European Life Sciences CEO Forum.</w:t>
      </w:r>
    </w:p>
    <w:p>
      <w:pPr>
        <w:spacing w:after="0" w:line="271" w:lineRule="exact"/>
        <w:rPr>
          <w:sz w:val="20"/>
          <w:szCs w:val="20"/>
          <w:color w:val="auto"/>
        </w:rPr>
      </w:pPr>
    </w:p>
    <w:p>
      <w:pPr>
        <w:sectPr>
          <w:pgSz w:w="11900" w:h="16838" w:orient="portrait"/>
          <w:cols w:equalWidth="0" w:num="2">
            <w:col w:w="800" w:space="360"/>
            <w:col w:w="10080"/>
          </w:cols>
          <w:pgMar w:left="320" w:top="108"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March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VP of AI &amp; Innovation, Jens Kringelum, presented the 5th Biologics World Nordics 2024 Conference.</w:t>
      </w:r>
    </w:p>
    <w:p>
      <w:pPr>
        <w:spacing w:after="0" w:line="29" w:lineRule="exact"/>
        <w:rPr>
          <w:sz w:val="20"/>
          <w:szCs w:val="20"/>
          <w:color w:val="auto"/>
        </w:rPr>
      </w:pPr>
    </w:p>
    <w:p>
      <w:pPr>
        <w:sectPr>
          <w:pgSz w:w="11900" w:h="16838" w:orient="portrait"/>
          <w:cols w:equalWidth="0" w:num="2">
            <w:col w:w="800" w:space="360"/>
            <w:col w:w="10080"/>
          </w:cols>
          <w:pgMar w:left="320" w:top="108"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March 7:</w:t>
      </w:r>
    </w:p>
    <w:p>
      <w:pPr>
        <w:spacing w:after="0" w:line="20" w:lineRule="exact"/>
        <w:rPr>
          <w:sz w:val="20"/>
          <w:szCs w:val="20"/>
          <w:color w:val="auto"/>
        </w:rPr>
      </w:pPr>
      <w:r>
        <w:rPr>
          <w:sz w:val="20"/>
          <w:szCs w:val="20"/>
          <w:color w:val="auto"/>
        </w:rPr>
        <w:br w:type="column"/>
      </w:r>
    </w:p>
    <w:p>
      <w:pPr>
        <w:ind w:right="280"/>
        <w:spacing w:after="0" w:line="243" w:lineRule="auto"/>
        <w:rPr>
          <w:sz w:val="20"/>
          <w:szCs w:val="20"/>
          <w:color w:val="auto"/>
        </w:rPr>
      </w:pPr>
      <w:r>
        <w:rPr>
          <w:rFonts w:ascii="Times New Roman" w:cs="Times New Roman" w:eastAsia="Times New Roman" w:hAnsi="Times New Roman"/>
          <w:sz w:val="22"/>
          <w:szCs w:val="22"/>
          <w:color w:val="auto"/>
        </w:rPr>
        <w:t>CEO Christian Kanstrup and CSO Birgitte Rønø participated in a fireside chat at the H.C. Wainwright 1st Annual Artificial Intelligence Based Drug Discovery &amp; Development Virtual Conference.</w:t>
      </w:r>
    </w:p>
    <w:p>
      <w:pPr>
        <w:spacing w:after="0" w:line="1" w:lineRule="exact"/>
        <w:rPr>
          <w:sz w:val="20"/>
          <w:szCs w:val="20"/>
          <w:color w:val="auto"/>
        </w:rPr>
      </w:pPr>
    </w:p>
    <w:p>
      <w:pPr>
        <w:sectPr>
          <w:pgSz w:w="11900" w:h="16838" w:orient="portrait"/>
          <w:cols w:equalWidth="0" w:num="2">
            <w:col w:w="800" w:space="360"/>
            <w:col w:w="10080"/>
          </w:cols>
          <w:pgMar w:left="320" w:top="108"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March 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Senior Project Manager, Immuno-oncology, Daniela Kleine-Kohlbrecher, presented at the 8th Annual</w:t>
      </w:r>
    </w:p>
    <w:p>
      <w:pPr>
        <w:sectPr>
          <w:pgSz w:w="11900" w:h="16838" w:orient="portrait"/>
          <w:cols w:equalWidth="0" w:num="2">
            <w:col w:w="980" w:space="180"/>
            <w:col w:w="10080"/>
          </w:cols>
          <w:pgMar w:left="320" w:top="108"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MarketsandMarkets Next-Gen Immuno-Oncology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40" w:type="dxa"/>
            <w:vAlign w:val="bottom"/>
            <w:gridSpan w:val="2"/>
          </w:tcPr>
          <w:p>
            <w:pPr>
              <w:ind w:left="420"/>
              <w:spacing w:after="0"/>
              <w:rPr>
                <w:sz w:val="20"/>
                <w:szCs w:val="20"/>
                <w:color w:val="auto"/>
              </w:rPr>
            </w:pPr>
            <w:r>
              <w:rPr>
                <w:rFonts w:ascii="Times New Roman" w:cs="Times New Roman" w:eastAsia="Times New Roman" w:hAnsi="Times New Roman"/>
                <w:sz w:val="22"/>
                <w:szCs w:val="22"/>
                <w:b w:val="1"/>
                <w:bCs w:val="1"/>
                <w:color w:val="auto"/>
              </w:rPr>
              <w:t>Anticipated 2024 Milestones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720" w:type="dxa"/>
            <w:vAlign w:val="bottom"/>
            <w:tcBorders>
              <w:bottom w:val="single" w:sz="8" w:color="auto"/>
              <w:right w:val="single" w:sz="8" w:color="auto"/>
            </w:tcBorders>
          </w:tcPr>
          <w:p>
            <w:pPr>
              <w:spacing w:after="0"/>
              <w:rPr>
                <w:sz w:val="23"/>
                <w:szCs w:val="23"/>
                <w:color w:val="auto"/>
              </w:rPr>
            </w:pPr>
          </w:p>
        </w:tc>
        <w:tc>
          <w:tcPr>
            <w:tcW w:w="8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Milestones</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EVX-B1</w:t>
            </w:r>
          </w:p>
        </w:tc>
        <w:tc>
          <w:tcPr>
            <w:tcW w:w="8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Conclusion of final MTA study with potential partner</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Q1 2024</w:t>
            </w:r>
          </w:p>
        </w:tc>
        <w:tc>
          <w:tcPr>
            <w:tcW w:w="0" w:type="dxa"/>
            <w:vAlign w:val="bottom"/>
          </w:tcPr>
          <w:p>
            <w:pPr>
              <w:spacing w:after="0"/>
              <w:rPr>
                <w:sz w:val="1"/>
                <w:szCs w:val="1"/>
                <w:color w:val="auto"/>
              </w:rPr>
            </w:pPr>
          </w:p>
        </w:tc>
      </w:tr>
      <w:tr>
        <w:trPr>
          <w:trHeight w:val="223"/>
        </w:trPr>
        <w:tc>
          <w:tcPr>
            <w:tcW w:w="1720" w:type="dxa"/>
            <w:vAlign w:val="bottom"/>
            <w:tcBorders>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2"/>
                <w:szCs w:val="22"/>
                <w:color w:val="auto"/>
              </w:rPr>
              <w:t>AI-</w:t>
            </w:r>
          </w:p>
        </w:tc>
        <w:tc>
          <w:tcPr>
            <w:tcW w:w="84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Launch of EDEN™ model version 5.0</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Mid 2024</w:t>
            </w:r>
          </w:p>
        </w:tc>
        <w:tc>
          <w:tcPr>
            <w:tcW w:w="0" w:type="dxa"/>
            <w:vAlign w:val="bottom"/>
          </w:tcPr>
          <w:p>
            <w:pPr>
              <w:spacing w:after="0"/>
              <w:rPr>
                <w:sz w:val="1"/>
                <w:szCs w:val="1"/>
                <w:color w:val="auto"/>
              </w:rPr>
            </w:pPr>
          </w:p>
        </w:tc>
      </w:tr>
      <w:tr>
        <w:trPr>
          <w:trHeight w:val="161"/>
        </w:trPr>
        <w:tc>
          <w:tcPr>
            <w:tcW w:w="1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Immunology™</w:t>
            </w:r>
          </w:p>
        </w:tc>
        <w:tc>
          <w:tcPr>
            <w:tcW w:w="8420" w:type="dxa"/>
            <w:vAlign w:val="bottom"/>
            <w:tcBorders>
              <w:right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Borders>
              <w:bottom w:val="single" w:sz="8" w:color="auto"/>
              <w:right w:val="single" w:sz="8" w:color="auto"/>
            </w:tcBorders>
            <w:vMerge w:val="continue"/>
          </w:tcPr>
          <w:p>
            <w:pPr>
              <w:spacing w:after="0"/>
              <w:rPr>
                <w:sz w:val="10"/>
                <w:szCs w:val="10"/>
                <w:color w:val="auto"/>
              </w:rPr>
            </w:pPr>
          </w:p>
        </w:tc>
        <w:tc>
          <w:tcPr>
            <w:tcW w:w="8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EVX-B2-mRNA</w:t>
            </w:r>
          </w:p>
        </w:tc>
        <w:tc>
          <w:tcPr>
            <w:tcW w:w="8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EVX-B2-mRNA preclinical Proof-of-Concept obtained</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Q3 2024</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EVX-01</w:t>
            </w:r>
          </w:p>
        </w:tc>
        <w:tc>
          <w:tcPr>
            <w:tcW w:w="8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Phase 2 one-year readout</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Q3 2024</w:t>
            </w:r>
          </w:p>
        </w:tc>
        <w:tc>
          <w:tcPr>
            <w:tcW w:w="0" w:type="dxa"/>
            <w:vAlign w:val="bottom"/>
          </w:tcPr>
          <w:p>
            <w:pPr>
              <w:spacing w:after="0"/>
              <w:rPr>
                <w:sz w:val="1"/>
                <w:szCs w:val="1"/>
                <w:color w:val="auto"/>
              </w:rPr>
            </w:pPr>
          </w:p>
        </w:tc>
      </w:tr>
      <w:tr>
        <w:trPr>
          <w:trHeight w:val="223"/>
        </w:trPr>
        <w:tc>
          <w:tcPr>
            <w:tcW w:w="1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EVX-B3</w:t>
            </w:r>
          </w:p>
        </w:tc>
        <w:tc>
          <w:tcPr>
            <w:tcW w:w="842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Conclusion of target discovery and validation work in collaboration with MSD (tradename of</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H2 2024</w:t>
            </w:r>
          </w:p>
        </w:tc>
        <w:tc>
          <w:tcPr>
            <w:tcW w:w="0" w:type="dxa"/>
            <w:vAlign w:val="bottom"/>
          </w:tcPr>
          <w:p>
            <w:pPr>
              <w:spacing w:after="0"/>
              <w:rPr>
                <w:sz w:val="1"/>
                <w:szCs w:val="1"/>
                <w:color w:val="auto"/>
              </w:rPr>
            </w:pPr>
          </w:p>
        </w:tc>
      </w:tr>
      <w:tr>
        <w:trPr>
          <w:trHeight w:val="161"/>
        </w:trPr>
        <w:tc>
          <w:tcPr>
            <w:tcW w:w="1720" w:type="dxa"/>
            <w:vAlign w:val="bottom"/>
            <w:tcBorders>
              <w:right w:val="single" w:sz="8" w:color="auto"/>
            </w:tcBorders>
            <w:vMerge w:val="continue"/>
          </w:tcPr>
          <w:p>
            <w:pPr>
              <w:spacing w:after="0"/>
              <w:rPr>
                <w:sz w:val="13"/>
                <w:szCs w:val="13"/>
                <w:color w:val="auto"/>
              </w:rPr>
            </w:pPr>
          </w:p>
        </w:tc>
        <w:tc>
          <w:tcPr>
            <w:tcW w:w="84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Merck &amp; Co., Inc., Rahway, NJ, USA)</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20" w:type="dxa"/>
            <w:vAlign w:val="bottom"/>
            <w:tcBorders>
              <w:right w:val="single" w:sz="8" w:color="auto"/>
            </w:tcBorders>
          </w:tcPr>
          <w:p>
            <w:pPr>
              <w:ind w:left="140"/>
              <w:spacing w:after="0" w:line="223" w:lineRule="exact"/>
              <w:rPr>
                <w:sz w:val="20"/>
                <w:szCs w:val="20"/>
                <w:color w:val="auto"/>
              </w:rPr>
            </w:pPr>
            <w:r>
              <w:rPr>
                <w:rFonts w:ascii="Times New Roman" w:cs="Times New Roman" w:eastAsia="Times New Roman" w:hAnsi="Times New Roman"/>
                <w:sz w:val="22"/>
                <w:szCs w:val="22"/>
                <w:color w:val="auto"/>
              </w:rPr>
              <w:t>Precision ERV</w:t>
            </w:r>
          </w:p>
        </w:tc>
        <w:tc>
          <w:tcPr>
            <w:tcW w:w="84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Preclinical Proof-of-Concept obtained</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H2 2024</w:t>
            </w:r>
          </w:p>
        </w:tc>
        <w:tc>
          <w:tcPr>
            <w:tcW w:w="0" w:type="dxa"/>
            <w:vAlign w:val="bottom"/>
          </w:tcPr>
          <w:p>
            <w:pPr>
              <w:spacing w:after="0"/>
              <w:rPr>
                <w:sz w:val="1"/>
                <w:szCs w:val="1"/>
                <w:color w:val="auto"/>
              </w:rPr>
            </w:pPr>
          </w:p>
        </w:tc>
      </w:tr>
      <w:tr>
        <w:trPr>
          <w:trHeight w:val="161"/>
        </w:trPr>
        <w:tc>
          <w:tcPr>
            <w:tcW w:w="1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cancer vaccines</w:t>
            </w:r>
          </w:p>
        </w:tc>
        <w:tc>
          <w:tcPr>
            <w:tcW w:w="8420" w:type="dxa"/>
            <w:vAlign w:val="bottom"/>
            <w:tcBorders>
              <w:right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Borders>
              <w:bottom w:val="single" w:sz="8" w:color="auto"/>
              <w:right w:val="single" w:sz="8" w:color="auto"/>
            </w:tcBorders>
            <w:vMerge w:val="continue"/>
          </w:tcPr>
          <w:p>
            <w:pPr>
              <w:spacing w:after="0"/>
              <w:rPr>
                <w:sz w:val="10"/>
                <w:szCs w:val="10"/>
                <w:color w:val="auto"/>
              </w:rPr>
            </w:pPr>
          </w:p>
        </w:tc>
        <w:tc>
          <w:tcPr>
            <w:tcW w:w="8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Funding</w:t>
            </w:r>
          </w:p>
        </w:tc>
        <w:tc>
          <w:tcPr>
            <w:tcW w:w="842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Ambition for full year 2024 is to generate business development income equal to 2024 cash</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720" w:type="dxa"/>
            <w:vAlign w:val="bottom"/>
            <w:tcBorders>
              <w:right w:val="single" w:sz="8" w:color="auto"/>
            </w:tcBorders>
            <w:vMerge w:val="continue"/>
          </w:tcPr>
          <w:p>
            <w:pPr>
              <w:spacing w:after="0"/>
              <w:rPr>
                <w:sz w:val="13"/>
                <w:szCs w:val="13"/>
                <w:color w:val="auto"/>
              </w:rPr>
            </w:pPr>
          </w:p>
        </w:tc>
        <w:tc>
          <w:tcPr>
            <w:tcW w:w="84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burn (excluding financing activities) of $14 million*</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952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 No assurances can be made that we will generate such business development income</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2023 Financial Results</w:t>
      </w:r>
    </w:p>
    <w:p>
      <w:pPr>
        <w:spacing w:after="0" w:line="210" w:lineRule="exact"/>
        <w:rPr>
          <w:sz w:val="20"/>
          <w:szCs w:val="20"/>
          <w:color w:val="auto"/>
        </w:rPr>
      </w:pPr>
    </w:p>
    <w:p>
      <w:pPr>
        <w:jc w:val="both"/>
        <w:ind w:left="540"/>
        <w:spacing w:after="0" w:line="232" w:lineRule="auto"/>
        <w:rPr>
          <w:sz w:val="20"/>
          <w:szCs w:val="20"/>
          <w:color w:val="auto"/>
        </w:rPr>
      </w:pPr>
      <w:r>
        <w:rPr>
          <w:rFonts w:ascii="Times New Roman" w:cs="Times New Roman" w:eastAsia="Times New Roman" w:hAnsi="Times New Roman"/>
          <w:sz w:val="22"/>
          <w:szCs w:val="22"/>
          <w:color w:val="auto"/>
        </w:rPr>
        <w:t>Cash position: As of December 31, 2023, cash and cash equivalents were $5.6 million compared to $13.2 as of December 31, 2022. Cash position was strengthened by a private placement with gross proceeds of $5.3 million, which closed on December 21, 2023. The private placement included participation from existing and new shareholders, with the largest new shareholder being MSD Global Health Innovation Fund (MSD GHI), a corporate venture capital arm of Merck &amp; Co., Inc., Rahway, NJ, USA, accounting for some 25% of the total aggregate offering amount. Further, the Private Placement included significant participation by all members of the Company’s management and the Company’s board of directors. After a public offering in February 2024, resulting in net proceeds of $12.7 million, we expect that our existing cash and cash equivalents will be sufficient to fund our operating expenses and capital expenditure requirements into February 2025. If all pre-funded warrants included in the public offering are exercised, we expect necessary funding will be in place into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-1487170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Research and Development expenses were $11.9 million for the year ended December 31, 2023, as compared to $17.1 million for the year ended December 31, 2022. The decrease was primarily due to a reduction in external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General and Administrative expenses were $10.4 million for the year ended December 31, 2023, as compared to $8.2 million for the year ended December 31, 2022. The increase was primarily due to an increase in external costs in connection with funding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7" w:lineRule="auto"/>
        <w:rPr>
          <w:sz w:val="20"/>
          <w:szCs w:val="20"/>
          <w:color w:val="auto"/>
        </w:rPr>
      </w:pPr>
      <w:r>
        <w:rPr>
          <w:rFonts w:ascii="Times New Roman" w:cs="Times New Roman" w:eastAsia="Times New Roman" w:hAnsi="Times New Roman"/>
          <w:sz w:val="22"/>
          <w:szCs w:val="22"/>
          <w:color w:val="auto"/>
        </w:rPr>
        <w:t>Net loss was $22.1 million for the year ended December 31, 2023, or ($0.81) per basic and diluted share, as compared to a net loss of $23.2 million, or ($0.98) per basic and diluted share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on the Company’s current cash position, with an estimated cash runway into February 2025 and the need for further funding, it is the assessment of management that there exists substantial doubt about the Company’s ability to continue as a going concern.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Evaxion will host a Business Update and Full Year 2023 Financial Results webcast on Tuesday, April 2, at 15:00 CEST / 9:00 a.m. EDT. To join the conference call, listen to the presentation and ask verbal questions, please register in advance via this link to receive the dial-in telephone numbers and a unique pin code. The call can be accessed 15 minutes prior to the start of the live event. To join the webcast, please click on this link. The webcast recording will be available shortly after the event.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3"/>
                <w:szCs w:val="23"/>
                <w:color w:val="auto"/>
              </w:rPr>
            </w:pPr>
          </w:p>
        </w:tc>
        <w:tc>
          <w:tcPr>
            <w:tcW w:w="5560" w:type="dxa"/>
            <w:vAlign w:val="bottom"/>
            <w:gridSpan w:val="2"/>
          </w:tcPr>
          <w:p>
            <w:pPr>
              <w:jc w:val="right"/>
              <w:ind w:right="1772"/>
              <w:spacing w:after="0"/>
              <w:rPr>
                <w:sz w:val="20"/>
                <w:szCs w:val="20"/>
                <w:color w:val="auto"/>
              </w:rPr>
            </w:pPr>
            <w:r>
              <w:rPr>
                <w:rFonts w:ascii="Times New Roman" w:cs="Times New Roman" w:eastAsia="Times New Roman" w:hAnsi="Times New Roman"/>
                <w:sz w:val="22"/>
                <w:szCs w:val="22"/>
                <w:color w:val="auto"/>
              </w:rPr>
              <w:t>Evaxion Biotech A/S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55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9"/>
              </w:rPr>
              <w:t>Consolidated Statement of Financial Position Data (Audited)</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5560" w:type="dxa"/>
            <w:vAlign w:val="bottom"/>
            <w:gridSpan w:val="2"/>
          </w:tcPr>
          <w:p>
            <w:pPr>
              <w:jc w:val="right"/>
              <w:ind w:right="1852"/>
              <w:spacing w:after="0"/>
              <w:rPr>
                <w:sz w:val="20"/>
                <w:szCs w:val="20"/>
                <w:color w:val="auto"/>
              </w:rPr>
            </w:pPr>
            <w:r>
              <w:rPr>
                <w:rFonts w:ascii="Times New Roman" w:cs="Times New Roman" w:eastAsia="Times New Roman" w:hAnsi="Times New Roman"/>
                <w:sz w:val="22"/>
                <w:szCs w:val="22"/>
                <w:color w:val="auto"/>
              </w:rPr>
              <w:t>(USD in thousands)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300" w:type="dxa"/>
            <w:vAlign w:val="bottom"/>
            <w:gridSpan w:val="3"/>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Dec 31,</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Dec 31,</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55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2023</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380" w:type="dxa"/>
            <w:vAlign w:val="bottom"/>
            <w:vMerge w:val="continue"/>
          </w:tcPr>
          <w:p>
            <w:pPr>
              <w:spacing w:after="0"/>
              <w:rPr>
                <w:sz w:val="23"/>
                <w:szCs w:val="23"/>
                <w:color w:val="auto"/>
              </w:rPr>
            </w:pPr>
          </w:p>
        </w:tc>
        <w:tc>
          <w:tcPr>
            <w:tcW w:w="424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5,583</w:t>
            </w:r>
          </w:p>
        </w:tc>
        <w:tc>
          <w:tcPr>
            <w:tcW w:w="8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13,184</w:t>
            </w:r>
          </w:p>
        </w:tc>
        <w:tc>
          <w:tcPr>
            <w:tcW w:w="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42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w:t>
            </w:r>
          </w:p>
        </w:tc>
        <w:tc>
          <w:tcPr>
            <w:tcW w:w="42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17,618</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Share capital</w:t>
            </w:r>
          </w:p>
        </w:tc>
        <w:tc>
          <w:tcPr>
            <w:tcW w:w="4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5,899</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3,886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Other reserves</w:t>
            </w:r>
          </w:p>
        </w:tc>
        <w:tc>
          <w:tcPr>
            <w:tcW w:w="4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97,342</w:t>
            </w: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42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(107,970)</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8"/>
              </w:rPr>
              <w:t>(85,845)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424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(4,729)</w:t>
            </w: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424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jc w:val="center"/>
        <w:ind w:right="160"/>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Consolidated Statement of Comprehensive Loss Data (Audited)</w:t>
      </w:r>
    </w:p>
    <w:p>
      <w:pPr>
        <w:spacing w:after="0" w:line="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(USD in thousands, except per share data)</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740" w:type="dxa"/>
            <w:vAlign w:val="bottom"/>
          </w:tcPr>
          <w:p>
            <w:pPr>
              <w:spacing w:after="0"/>
              <w:rPr>
                <w:sz w:val="22"/>
                <w:szCs w:val="22"/>
                <w:color w:val="auto"/>
              </w:rPr>
            </w:pPr>
          </w:p>
        </w:tc>
        <w:tc>
          <w:tcPr>
            <w:tcW w:w="3260" w:type="dxa"/>
            <w:vAlign w:val="bottom"/>
            <w:gridSpan w:val="6"/>
          </w:tcPr>
          <w:p>
            <w:pPr>
              <w:ind w:left="5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220" w:type="dxa"/>
            <w:vAlign w:val="bottom"/>
            <w:gridSpan w:val="5"/>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87"/>
        </w:trPr>
        <w:tc>
          <w:tcPr>
            <w:tcW w:w="47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2"/>
                <w:szCs w:val="22"/>
                <w:color w:val="auto"/>
              </w:rPr>
            </w:pPr>
          </w:p>
        </w:tc>
        <w:tc>
          <w:tcPr>
            <w:tcW w:w="15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2"/>
                <w:szCs w:val="22"/>
                <w:color w:val="auto"/>
              </w:rPr>
            </w:pPr>
          </w:p>
        </w:tc>
        <w:tc>
          <w:tcPr>
            <w:tcW w:w="154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80" w:type="dxa"/>
            <w:vAlign w:val="bottom"/>
          </w:tcPr>
          <w:p>
            <w:pPr>
              <w:spacing w:after="0"/>
              <w:rPr>
                <w:sz w:val="22"/>
                <w:szCs w:val="22"/>
                <w:color w:val="auto"/>
              </w:rPr>
            </w:pPr>
          </w:p>
        </w:tc>
        <w:tc>
          <w:tcPr>
            <w:tcW w:w="1580" w:type="dxa"/>
            <w:vAlign w:val="bottom"/>
            <w:tcBorders>
              <w:bottom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2"/>
                <w:szCs w:val="22"/>
                <w:color w:val="auto"/>
              </w:rPr>
            </w:pPr>
          </w:p>
        </w:tc>
        <w:tc>
          <w:tcPr>
            <w:tcW w:w="15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0" w:type="dxa"/>
            <w:vAlign w:val="bottom"/>
          </w:tcPr>
          <w:p>
            <w:pPr>
              <w:spacing w:after="0"/>
              <w:rPr>
                <w:sz w:val="1"/>
                <w:szCs w:val="1"/>
                <w:color w:val="auto"/>
              </w:rPr>
            </w:pPr>
          </w:p>
        </w:tc>
      </w:tr>
      <w:tr>
        <w:trPr>
          <w:trHeight w:val="790"/>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Research and development</w:t>
            </w:r>
          </w:p>
        </w:tc>
        <w:tc>
          <w:tcPr>
            <w:tcW w:w="8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(2,298)</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(11,916)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(17,056)</w:t>
            </w: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(2,138)</w:t>
            </w: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(2,452)</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8"/>
              </w:rPr>
              <w:t>(10,354)</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(8,208)</w:t>
            </w:r>
          </w:p>
        </w:tc>
        <w:tc>
          <w:tcPr>
            <w:tcW w:w="0" w:type="dxa"/>
            <w:vAlign w:val="bottom"/>
          </w:tcPr>
          <w:p>
            <w:pPr>
              <w:spacing w:after="0"/>
              <w:rPr>
                <w:sz w:val="1"/>
                <w:szCs w:val="1"/>
                <w:color w:val="auto"/>
              </w:rPr>
            </w:pPr>
          </w:p>
        </w:tc>
      </w:tr>
      <w:tr>
        <w:trPr>
          <w:trHeight w:val="520"/>
        </w:trPr>
        <w:tc>
          <w:tcPr>
            <w:tcW w:w="4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8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(4,363)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(6,525)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(22,197)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(25,264)</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Finance income</w:t>
            </w:r>
          </w:p>
        </w:tc>
        <w:tc>
          <w:tcPr>
            <w:tcW w:w="8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559</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2,831</w:t>
            </w: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Finance expenses</w:t>
            </w: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w:t>
            </w: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(590)</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(1,681)</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(1,508)</w:t>
            </w:r>
          </w:p>
        </w:tc>
        <w:tc>
          <w:tcPr>
            <w:tcW w:w="0" w:type="dxa"/>
            <w:vAlign w:val="bottom"/>
          </w:tcPr>
          <w:p>
            <w:pPr>
              <w:spacing w:after="0"/>
              <w:rPr>
                <w:sz w:val="1"/>
                <w:szCs w:val="1"/>
                <w:color w:val="auto"/>
              </w:rPr>
            </w:pPr>
          </w:p>
        </w:tc>
      </w:tr>
      <w:tr>
        <w:trPr>
          <w:trHeight w:val="534"/>
        </w:trPr>
        <w:tc>
          <w:tcPr>
            <w:tcW w:w="4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(4,699)</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(7,045)</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(22,915)</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(23,941)</w:t>
            </w:r>
          </w:p>
        </w:tc>
        <w:tc>
          <w:tcPr>
            <w:tcW w:w="0" w:type="dxa"/>
            <w:vAlign w:val="bottom"/>
          </w:tcPr>
          <w:p>
            <w:pPr>
              <w:spacing w:after="0"/>
              <w:rPr>
                <w:sz w:val="1"/>
                <w:szCs w:val="1"/>
                <w:color w:val="auto"/>
              </w:rPr>
            </w:pPr>
          </w:p>
        </w:tc>
      </w:tr>
      <w:tr>
        <w:trPr>
          <w:trHeight w:val="533"/>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790</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w:t>
            </w:r>
          </w:p>
        </w:tc>
        <w:tc>
          <w:tcPr>
            <w:tcW w:w="0" w:type="dxa"/>
            <w:vAlign w:val="bottom"/>
          </w:tcPr>
          <w:p>
            <w:pPr>
              <w:spacing w:after="0"/>
              <w:rPr>
                <w:sz w:val="1"/>
                <w:szCs w:val="1"/>
                <w:color w:val="auto"/>
              </w:rPr>
            </w:pPr>
          </w:p>
        </w:tc>
      </w:tr>
      <w:tr>
        <w:trPr>
          <w:trHeight w:val="533"/>
        </w:trPr>
        <w:tc>
          <w:tcPr>
            <w:tcW w:w="4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(4,522)</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(6,872)</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(22,125)</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(23,169)</w:t>
            </w:r>
          </w:p>
        </w:tc>
        <w:tc>
          <w:tcPr>
            <w:tcW w:w="0" w:type="dxa"/>
            <w:vAlign w:val="bottom"/>
          </w:tcPr>
          <w:p>
            <w:pPr>
              <w:spacing w:after="0"/>
              <w:rPr>
                <w:sz w:val="1"/>
                <w:szCs w:val="1"/>
                <w:color w:val="auto"/>
              </w:rPr>
            </w:pPr>
          </w:p>
        </w:tc>
      </w:tr>
      <w:tr>
        <w:trPr>
          <w:trHeight w:val="490"/>
        </w:trPr>
        <w:tc>
          <w:tcPr>
            <w:tcW w:w="4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attributable to shareholders of Evaxion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(4,522)</w:t>
            </w:r>
          </w:p>
        </w:tc>
        <w:tc>
          <w:tcPr>
            <w:tcW w:w="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(6,872)</w:t>
            </w:r>
          </w:p>
        </w:tc>
        <w:tc>
          <w:tcPr>
            <w:tcW w:w="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(22,125)</w:t>
            </w:r>
          </w:p>
        </w:tc>
        <w:tc>
          <w:tcPr>
            <w:tcW w:w="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(23,169)</w:t>
            </w:r>
          </w:p>
        </w:tc>
        <w:tc>
          <w:tcPr>
            <w:tcW w:w="0" w:type="dxa"/>
            <w:vAlign w:val="bottom"/>
          </w:tcPr>
          <w:p>
            <w:pPr>
              <w:spacing w:after="0"/>
              <w:rPr>
                <w:sz w:val="1"/>
                <w:szCs w:val="1"/>
                <w:color w:val="auto"/>
              </w:rPr>
            </w:pPr>
          </w:p>
        </w:tc>
      </w:tr>
      <w:tr>
        <w:trPr>
          <w:trHeight w:val="266"/>
        </w:trPr>
        <w:tc>
          <w:tcPr>
            <w:tcW w:w="4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Biotech A/S</w:t>
            </w:r>
          </w:p>
        </w:tc>
        <w:tc>
          <w:tcPr>
            <w:tcW w:w="84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(0.98)</w:t>
            </w:r>
          </w:p>
        </w:tc>
        <w:tc>
          <w:tcPr>
            <w:tcW w:w="0" w:type="dxa"/>
            <w:vAlign w:val="bottom"/>
          </w:tcPr>
          <w:p>
            <w:pPr>
              <w:spacing w:after="0"/>
              <w:rPr>
                <w:sz w:val="1"/>
                <w:szCs w:val="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Number of shares used for calculation (basic and</w:t>
            </w: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diluted)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29,061,036</w:t>
            </w:r>
          </w:p>
        </w:tc>
        <w:tc>
          <w:tcPr>
            <w:tcW w:w="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24,082,247</w:t>
            </w:r>
          </w:p>
        </w:tc>
        <w:tc>
          <w:tcPr>
            <w:tcW w:w="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27,335,829</w:t>
            </w:r>
          </w:p>
        </w:tc>
        <w:tc>
          <w:tcPr>
            <w:tcW w:w="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23,638,685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w:t>
      </w:r>
      <w:r>
        <w:rPr>
          <w:rFonts w:ascii="Times New Roman" w:cs="Times New Roman" w:eastAsia="Times New Roman" w:hAnsi="Times New Roman"/>
          <w:sz w:val="22"/>
          <w:szCs w:val="22"/>
          <w:u w:val="single" w:color="auto"/>
          <w:color w:val="auto"/>
        </w:rPr>
        <w:t>visit our website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ongoing COVID-19 pandemic and the ongoing conflict in the region surrounding Ukraine and Russia and the Middle East;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1"/>
          <w:szCs w:val="21"/>
          <w:b w:val="1"/>
          <w:bCs w:val="1"/>
          <w:color w:val="auto"/>
        </w:rPr>
        <w:t>www.sec.gov</w:t>
      </w:r>
      <w:r>
        <w:rPr>
          <w:rFonts w:ascii="Times New Roman" w:cs="Times New Roman" w:eastAsia="Times New Roman" w:hAnsi="Times New Roman"/>
          <w:sz w:val="21"/>
          <w:szCs w:val="21"/>
          <w:color w:val="auto"/>
        </w:rPr>
        <w:t>. We do not assume any obligation to update any forward-looking statements except as required by law.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w:t>
      </w:r>
    </w:p>
    <w:p>
      <w:pPr>
        <w:sectPr>
          <w:pgSz w:w="11900" w:h="16838" w:orient="portrait"/>
          <w:cols w:equalWidth="0" w:num="1">
            <w:col w:w="11240"/>
          </w:cols>
          <w:pgMar w:left="320" w:top="585"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Christian Kanstrup</w:t>
      </w:r>
    </w:p>
    <w:p>
      <w:pPr>
        <w:spacing w:after="0" w:line="230" w:lineRule="auto"/>
        <w:rPr>
          <w:sz w:val="20"/>
          <w:szCs w:val="20"/>
          <w:color w:val="auto"/>
        </w:rPr>
      </w:pPr>
      <w:r>
        <w:rPr>
          <w:rFonts w:ascii="Times New Roman" w:cs="Times New Roman" w:eastAsia="Times New Roman" w:hAnsi="Times New Roman"/>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cka@evaxion-biotech.com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Evaxion Biotech</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2024-03-27T07:43:56Z</dcterms:created>
  <dcterms:modified xsi:type="dcterms:W3CDTF">2024-03-27T07:43:56Z</dcterms:modified>
</cp:coreProperties>
</file>