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108585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August 2022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214630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Evaxion Biotech A/S</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201930</wp:posOffset>
            </wp:positionV>
            <wp:extent cx="1405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Dr. Neergaards Vej 5f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DK-2970 Hoersholm</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193675</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91" w:lineRule="exact"/>
        <w:rPr>
          <w:sz w:val="24"/>
          <w:szCs w:val="24"/>
          <w:color w:val="auto"/>
        </w:rPr>
      </w:pPr>
    </w:p>
    <w:p>
      <w:pPr>
        <w:ind w:left="3760"/>
        <w:spacing w:after="0" w:line="184" w:lineRule="exact"/>
        <w:tabs>
          <w:tab w:leader="none" w:pos="5280" w:val="left"/>
        </w:tabs>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Form 40-F </w:t>
      </w:r>
      <w:r>
        <w:rPr>
          <w:rFonts w:ascii="MS PGothic" w:cs="MS PGothic" w:eastAsia="MS PGothic" w:hAnsi="MS PGothic"/>
          <w:sz w:val="14"/>
          <w:szCs w:val="14"/>
          <w:color w:val="auto"/>
        </w:rPr>
        <w:t>☐</w:t>
      </w:r>
    </w:p>
    <w:p>
      <w:pPr>
        <w:spacing w:after="0" w:line="221"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44"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728980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180340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222885</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INCORPORATION BY REFERENCE</w:t>
      </w:r>
    </w:p>
    <w:p>
      <w:pPr>
        <w:spacing w:after="0" w:line="238"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Exhibits 99.1 and 99.2 of this report on Form 6-K shall be deemed to be incorporated by reference into the registration statements on Form S-8 (Registration Number 333-255064) and on Form F-3 (Registration Number 333-265132) of Evaxion Biotech A/S (the “Company”) (including any prospectus forming a part of such registration statements) and to be a part thereof from the date on which this report is filed, to the extent not superseded by documents or reports subsequently filed or furnished.</w:t>
      </w:r>
    </w:p>
    <w:p>
      <w:pPr>
        <w:spacing w:after="0" w:line="188"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Furnished as Exhibits to this Report on Form 6-K is information regarding the Company’s financial results for the fiscal quarter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734695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b w:val="1"/>
          <w:bCs w:val="1"/>
          <w:color w:val="auto"/>
        </w:rPr>
        <w:t>Exhibits</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ind w:left="60"/>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Unaudited Condensed Consolidated Interim Financial Statements.</w:t>
      </w:r>
    </w:p>
    <w:p>
      <w:pPr>
        <w:spacing w:after="0" w:line="23"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EE"/>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906145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5940" w:type="dxa"/>
            <w:vAlign w:val="bottom"/>
            <w:gridSpan w:val="3"/>
          </w:tcPr>
          <w:p>
            <w:pPr>
              <w:ind w:left="1340"/>
              <w:spacing w:after="0"/>
              <w:rPr>
                <w:sz w:val="20"/>
                <w:szCs w:val="20"/>
                <w:color w:val="auto"/>
              </w:rPr>
            </w:pPr>
            <w:r>
              <w:rPr>
                <w:rFonts w:ascii="Arial" w:cs="Arial" w:eastAsia="Arial" w:hAnsi="Arial"/>
                <w:sz w:val="18"/>
                <w:szCs w:val="18"/>
                <w:b w:val="1"/>
                <w:bCs w:val="1"/>
                <w:color w:val="auto"/>
              </w:rPr>
              <w:t>Evaxion Biotech A/S</w:t>
            </w:r>
          </w:p>
        </w:tc>
      </w:tr>
      <w:tr>
        <w:trPr>
          <w:trHeight w:val="432"/>
        </w:trPr>
        <w:tc>
          <w:tcPr>
            <w:tcW w:w="2980" w:type="dxa"/>
            <w:vAlign w:val="bottom"/>
          </w:tcPr>
          <w:p>
            <w:pPr>
              <w:ind w:left="20"/>
              <w:spacing w:after="0"/>
              <w:rPr>
                <w:sz w:val="20"/>
                <w:szCs w:val="20"/>
                <w:color w:val="auto"/>
              </w:rPr>
            </w:pPr>
            <w:r>
              <w:rPr>
                <w:rFonts w:ascii="Arial" w:cs="Arial" w:eastAsia="Arial" w:hAnsi="Arial"/>
                <w:sz w:val="18"/>
                <w:szCs w:val="18"/>
                <w:color w:val="auto"/>
              </w:rPr>
              <w:t>Date: August 11, 2022</w:t>
            </w:r>
          </w:p>
        </w:tc>
        <w:tc>
          <w:tcPr>
            <w:tcW w:w="5940" w:type="dxa"/>
            <w:vAlign w:val="bottom"/>
            <w:gridSpan w:val="3"/>
          </w:tcPr>
          <w:p>
            <w:pPr>
              <w:ind w:left="1340"/>
              <w:spacing w:after="0"/>
              <w:rPr>
                <w:sz w:val="20"/>
                <w:szCs w:val="20"/>
                <w:color w:val="auto"/>
              </w:rPr>
            </w:pPr>
            <w:r>
              <w:rPr>
                <w:rFonts w:ascii="Arial" w:cs="Arial" w:eastAsia="Arial" w:hAnsi="Arial"/>
                <w:sz w:val="18"/>
                <w:szCs w:val="18"/>
                <w:color w:val="auto"/>
              </w:rPr>
              <w:t>By:/s/ Bo Karmark</w:t>
            </w:r>
          </w:p>
        </w:tc>
      </w:tr>
      <w:tr>
        <w:trPr>
          <w:trHeight w:val="195"/>
        </w:trPr>
        <w:tc>
          <w:tcPr>
            <w:tcW w:w="2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Bo Karmark</w:t>
            </w:r>
          </w:p>
        </w:tc>
        <w:tc>
          <w:tcPr>
            <w:tcW w:w="20" w:type="dxa"/>
            <w:vAlign w:val="bottom"/>
          </w:tcPr>
          <w:p>
            <w:pPr>
              <w:spacing w:after="0"/>
              <w:rPr>
                <w:sz w:val="16"/>
                <w:szCs w:val="16"/>
                <w:color w:val="auto"/>
              </w:rPr>
            </w:pPr>
          </w:p>
        </w:tc>
      </w:tr>
      <w:tr>
        <w:trPr>
          <w:trHeight w:val="230"/>
        </w:trPr>
        <w:tc>
          <w:tcPr>
            <w:tcW w:w="2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086"/>
        </w:trPr>
        <w:tc>
          <w:tcPr>
            <w:tcW w:w="2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EVAXION BIOTECH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920" w:type="dxa"/>
            <w:vAlign w:val="bottom"/>
            <w:gridSpan w:val="6"/>
            <w:vMerge w:val="restart"/>
          </w:tcPr>
          <w:p>
            <w:pPr>
              <w:spacing w:after="0"/>
              <w:rPr>
                <w:sz w:val="20"/>
                <w:szCs w:val="20"/>
                <w:color w:val="auto"/>
              </w:rPr>
            </w:pPr>
            <w:r>
              <w:rPr>
                <w:rFonts w:ascii="Arial" w:cs="Arial" w:eastAsia="Arial" w:hAnsi="Arial"/>
                <w:sz w:val="18"/>
                <w:szCs w:val="18"/>
                <w:color w:val="0000EE"/>
                <w:w w:val="90"/>
              </w:rPr>
              <w:t>Unaudited Condensed Consolidated Interim Statements of Comprehensive Loss for the Three and Six Months</w:t>
            </w:r>
          </w:p>
        </w:tc>
        <w:tc>
          <w:tcPr>
            <w:tcW w:w="420" w:type="dxa"/>
            <w:vAlign w:val="bottom"/>
            <w:gridSpan w:val="2"/>
            <w:vMerge w:val="restart"/>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60"/>
        </w:trPr>
        <w:tc>
          <w:tcPr>
            <w:tcW w:w="7920" w:type="dxa"/>
            <w:vAlign w:val="bottom"/>
            <w:tcBorders>
              <w:bottom w:val="single" w:sz="8" w:color="0000EE"/>
            </w:tcBorders>
            <w:gridSpan w:val="6"/>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220" w:type="dxa"/>
            <w:vAlign w:val="bottom"/>
            <w:gridSpan w:val="7"/>
          </w:tcPr>
          <w:p>
            <w:pPr>
              <w:spacing w:after="0" w:line="196" w:lineRule="exact"/>
              <w:rPr>
                <w:sz w:val="20"/>
                <w:szCs w:val="20"/>
                <w:color w:val="auto"/>
              </w:rPr>
            </w:pPr>
            <w:r>
              <w:rPr>
                <w:rFonts w:ascii="Arial" w:cs="Arial" w:eastAsia="Arial" w:hAnsi="Arial"/>
                <w:sz w:val="18"/>
                <w:szCs w:val="18"/>
                <w:color w:val="0000EE"/>
              </w:rPr>
              <w:t>Ended June 30, 2022 and 2021</w:t>
            </w: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Unaudited Condensed Consolidated Interim Statements of Financial Position as of June 30, 2022 and December 31,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2021</w:t>
            </w: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Unaudited Condensed Consolidated Interim Statements of Changes in Equity for the Three and Six Months Ended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7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June 30, 2022 and 2021</w:t>
            </w:r>
          </w:p>
        </w:tc>
        <w:tc>
          <w:tcPr>
            <w:tcW w:w="6500" w:type="dxa"/>
            <w:vAlign w:val="bottom"/>
            <w:gridSpan w:val="5"/>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Unaudited Condensed Consolidated Interim Statements of Cash Flows for the Six Months Ended June 30, 2022 and</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2021</w:t>
            </w: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Notes to Unaudited Condensed Consolidated Interim Financial Statements</w:t>
            </w:r>
          </w:p>
        </w:tc>
        <w:tc>
          <w:tcPr>
            <w:tcW w:w="2980" w:type="dxa"/>
            <w:vAlign w:val="bottom"/>
            <w:gridSpan w:val="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EVAXION BIOTECH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Interim Statements of Comprehensive Loss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8"/>
        </w:trPr>
        <w:tc>
          <w:tcPr>
            <w:tcW w:w="4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40" w:type="dxa"/>
            <w:vAlign w:val="bottom"/>
            <w:gridSpan w:val="11"/>
          </w:tcPr>
          <w:p>
            <w:pPr>
              <w:jc w:val="right"/>
              <w:ind w:right="451"/>
              <w:spacing w:after="0" w:line="129" w:lineRule="exact"/>
              <w:rPr>
                <w:sz w:val="20"/>
                <w:szCs w:val="20"/>
                <w:color w:val="auto"/>
              </w:rPr>
            </w:pPr>
            <w:r>
              <w:rPr>
                <w:rFonts w:ascii="Arial" w:cs="Arial" w:eastAsia="Arial" w:hAnsi="Arial"/>
                <w:sz w:val="14"/>
                <w:szCs w:val="14"/>
                <w:b w:val="1"/>
                <w:bCs w:val="1"/>
                <w:color w:val="auto"/>
              </w:rPr>
              <w:t>(USD in thousands, except per share amounts)</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4,112</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8,916</w:t>
            </w:r>
          </w:p>
        </w:tc>
        <w:tc>
          <w:tcPr>
            <w:tcW w:w="14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9,004</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12,201</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(12,658)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(12,201)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Finance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before tax</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(7,488)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(10,983)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(11,988)</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for the period</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(10,559)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(10,912)</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Net loss attributable to shareholders of Evaxion Biotech A/S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(4,768)</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(6,819)</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(10,559)</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(10,912)</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line="195" w:lineRule="exact"/>
              <w:rPr>
                <w:sz w:val="20"/>
                <w:szCs w:val="20"/>
                <w:color w:val="auto"/>
              </w:rPr>
            </w:pPr>
            <w:r>
              <w:rPr>
                <w:rFonts w:ascii="Arial" w:cs="Arial" w:eastAsia="Arial" w:hAnsi="Arial"/>
                <w:sz w:val="18"/>
                <w:szCs w:val="18"/>
                <w:i w:val="1"/>
                <w:iCs w:val="1"/>
                <w:color w:val="auto"/>
                <w:w w:val="93"/>
              </w:rPr>
              <w:t>Other comprehensive income that may be reclassified to profit or</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20"/>
              <w:spacing w:after="0"/>
              <w:rPr>
                <w:sz w:val="20"/>
                <w:szCs w:val="20"/>
                <w:color w:val="auto"/>
              </w:rPr>
            </w:pPr>
            <w:r>
              <w:rPr>
                <w:rFonts w:ascii="Arial" w:cs="Arial" w:eastAsia="Arial" w:hAnsi="Arial"/>
                <w:sz w:val="18"/>
                <w:szCs w:val="18"/>
                <w:i w:val="1"/>
                <w:iCs w:val="1"/>
                <w:color w:val="auto"/>
              </w:rPr>
              <w:t>loss in subsequent periods: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Tax on other comprehensive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3"/>
              </w:rPr>
              <w:t>Other comprehensive income that will not be reclassified to profit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or loss in subsequent periods: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40" w:type="dxa"/>
            <w:vAlign w:val="bottom"/>
          </w:tcPr>
          <w:p>
            <w:pPr>
              <w:spacing w:after="0" w:line="201" w:lineRule="exact"/>
              <w:rPr>
                <w:sz w:val="20"/>
                <w:szCs w:val="20"/>
                <w:color w:val="auto"/>
              </w:rPr>
            </w:pPr>
            <w:r>
              <w:rPr>
                <w:rFonts w:ascii="Arial" w:cs="Arial" w:eastAsia="Arial" w:hAnsi="Arial"/>
                <w:sz w:val="18"/>
                <w:szCs w:val="18"/>
                <w:color w:val="auto"/>
                <w:w w:val="99"/>
              </w:rPr>
              <w:t>Exchange differences on currency translation to presentation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currency</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Other comprehensive income/(loss) for the period, net of tax</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comprehensive loss</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(6,371)</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(6,396)</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(12,764)</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(11,224)</w:t>
            </w:r>
          </w:p>
        </w:tc>
        <w:tc>
          <w:tcPr>
            <w:tcW w:w="0" w:type="dxa"/>
            <w:vAlign w:val="bottom"/>
          </w:tcPr>
          <w:p>
            <w:pPr>
              <w:spacing w:after="0"/>
              <w:rPr>
                <w:sz w:val="1"/>
                <w:szCs w:val="1"/>
                <w:color w:val="auto"/>
              </w:rPr>
            </w:pPr>
          </w:p>
        </w:tc>
      </w:tr>
      <w:tr>
        <w:trPr>
          <w:trHeight w:val="151"/>
        </w:trPr>
        <w:tc>
          <w:tcPr>
            <w:tcW w:w="4840" w:type="dxa"/>
            <w:vAlign w:val="bottom"/>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Total comprehensive loss attributable to shareholders of</w:t>
            </w:r>
          </w:p>
        </w:tc>
        <w:tc>
          <w:tcPr>
            <w:tcW w:w="320" w:type="dxa"/>
            <w:vAlign w:val="bottom"/>
            <w:gridSpan w:val="2"/>
            <w:vMerge w:val="restart"/>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(6,371)</w:t>
            </w:r>
          </w:p>
        </w:tc>
        <w:tc>
          <w:tcPr>
            <w:tcW w:w="380" w:type="dxa"/>
            <w:vAlign w:val="bottom"/>
            <w:gridSpan w:val="2"/>
            <w:vMerge w:val="restart"/>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(6,396)</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(12,764)</w:t>
            </w:r>
          </w:p>
        </w:tc>
        <w:tc>
          <w:tcPr>
            <w:tcW w:w="14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89"/>
              <w:spacing w:after="0"/>
              <w:rPr>
                <w:sz w:val="20"/>
                <w:szCs w:val="20"/>
                <w:color w:val="auto"/>
              </w:rPr>
            </w:pPr>
            <w:r>
              <w:rPr>
                <w:rFonts w:ascii="Arial" w:cs="Arial" w:eastAsia="Arial" w:hAnsi="Arial"/>
                <w:sz w:val="15"/>
                <w:szCs w:val="15"/>
                <w:b w:val="1"/>
                <w:bCs w:val="1"/>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(11,224)</w:t>
            </w:r>
          </w:p>
        </w:tc>
        <w:tc>
          <w:tcPr>
            <w:tcW w:w="0" w:type="dxa"/>
            <w:vAlign w:val="bottom"/>
          </w:tcPr>
          <w:p>
            <w:pPr>
              <w:spacing w:after="0"/>
              <w:rPr>
                <w:sz w:val="1"/>
                <w:szCs w:val="1"/>
                <w:color w:val="auto"/>
              </w:rPr>
            </w:pPr>
          </w:p>
        </w:tc>
      </w:tr>
      <w:tr>
        <w:trPr>
          <w:trHeight w:val="221"/>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Evaxion Biotech A/S</w:t>
            </w:r>
          </w:p>
        </w:tc>
        <w:tc>
          <w:tcPr>
            <w:tcW w:w="32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 basic and diluted</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16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1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(0.45)</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EVAXION BIOTECH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Interim Statements of Financial Position</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9"/>
        </w:trPr>
        <w:tc>
          <w:tcPr>
            <w:tcW w:w="60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4"/>
                <w:szCs w:val="14"/>
                <w:b w:val="1"/>
                <w:bCs w:val="1"/>
                <w:color w:val="auto"/>
              </w:rPr>
              <w:t>(USD in</w:t>
            </w:r>
          </w:p>
        </w:tc>
        <w:tc>
          <w:tcPr>
            <w:tcW w:w="18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Non-current assets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Property and equipment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Government grants receivable, non-current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Tax receivables, non-current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Leasehold deposits, non-current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5,458</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Prepayments and other receivables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offering costs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Government grants receivable, current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receivables, current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Cash and cash equivalents</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32,166</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28,529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34,705</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34,004</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40,163</w:t>
            </w: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 AND LIABILITIES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Share capital</w:t>
            </w:r>
          </w:p>
        </w:tc>
        <w:tc>
          <w:tcPr>
            <w:tcW w:w="720" w:type="dxa"/>
            <w:vAlign w:val="bottom"/>
          </w:tcPr>
          <w:p>
            <w:pPr>
              <w:jc w:val="center"/>
              <w:spacing w:after="0"/>
              <w:rPr>
                <w:sz w:val="20"/>
                <w:szCs w:val="20"/>
                <w:color w:val="auto"/>
              </w:rPr>
            </w:pPr>
            <w:r>
              <w:rPr>
                <w:rFonts w:ascii="Arial" w:cs="Arial" w:eastAsia="Arial" w:hAnsi="Arial"/>
                <w:sz w:val="18"/>
                <w:szCs w:val="18"/>
                <w:i w:val="1"/>
                <w:iCs w:val="1"/>
                <w:color w:val="auto"/>
                <w:w w:val="79"/>
              </w:rPr>
              <w:t>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3,844</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79,114</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(50,432)</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20,150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32,437</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 non-current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Borrowings, non-current</w:t>
            </w:r>
          </w:p>
        </w:tc>
        <w:tc>
          <w:tcPr>
            <w:tcW w:w="720" w:type="dxa"/>
            <w:vAlign w:val="bottom"/>
          </w:tcPr>
          <w:p>
            <w:pPr>
              <w:jc w:val="center"/>
              <w:spacing w:after="0"/>
              <w:rPr>
                <w:sz w:val="20"/>
                <w:szCs w:val="20"/>
                <w:color w:val="auto"/>
              </w:rPr>
            </w:pPr>
            <w:r>
              <w:rPr>
                <w:rFonts w:ascii="Arial" w:cs="Arial" w:eastAsia="Arial" w:hAnsi="Arial"/>
                <w:sz w:val="18"/>
                <w:szCs w:val="18"/>
                <w:i w:val="1"/>
                <w:iCs w:val="1"/>
                <w:color w:val="auto"/>
                <w:w w:val="79"/>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Provisions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3,403</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Lease liabilities, current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 liability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79"/>
              </w:rPr>
              <w:t>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Borrowings, current</w:t>
            </w:r>
          </w:p>
        </w:tc>
        <w:tc>
          <w:tcPr>
            <w:tcW w:w="720" w:type="dxa"/>
            <w:vAlign w:val="bottom"/>
          </w:tcPr>
          <w:p>
            <w:pPr>
              <w:jc w:val="center"/>
              <w:spacing w:after="0"/>
              <w:rPr>
                <w:sz w:val="20"/>
                <w:szCs w:val="20"/>
                <w:color w:val="auto"/>
              </w:rPr>
            </w:pPr>
            <w:r>
              <w:rPr>
                <w:rFonts w:ascii="Arial" w:cs="Arial" w:eastAsia="Arial" w:hAnsi="Arial"/>
                <w:sz w:val="18"/>
                <w:szCs w:val="18"/>
                <w:i w:val="1"/>
                <w:iCs w:val="1"/>
                <w:color w:val="auto"/>
                <w:w w:val="79"/>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payables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payables</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4,323</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7,726</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34,004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40,163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EVAXION BIOTECH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Interim Statements of Changes in Equity</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Other reserves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Foreign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4"/>
              </w:rPr>
              <w:t>premium</w:t>
            </w: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28"/>
        </w:trPr>
        <w:tc>
          <w:tcPr>
            <w:tcW w:w="3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(USD</w:t>
            </w:r>
          </w:p>
        </w:tc>
        <w:tc>
          <w:tcPr>
            <w:tcW w:w="160" w:type="dxa"/>
            <w:vAlign w:val="bottom"/>
            <w:vMerge w:val="continue"/>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December 31, 2021</w:t>
            </w: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(50,432)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32,437</w:t>
            </w:r>
          </w:p>
        </w:tc>
        <w:tc>
          <w:tcPr>
            <w:tcW w:w="0" w:type="dxa"/>
            <w:vAlign w:val="bottom"/>
          </w:tcPr>
          <w:p>
            <w:pPr>
              <w:spacing w:after="0"/>
              <w:rPr>
                <w:sz w:val="1"/>
                <w:szCs w:val="1"/>
                <w:color w:val="auto"/>
              </w:rPr>
            </w:pPr>
          </w:p>
        </w:tc>
      </w:tr>
      <w:tr>
        <w:trPr>
          <w:trHeight w:val="216"/>
        </w:trPr>
        <w:tc>
          <w:tcPr>
            <w:tcW w:w="3220" w:type="dxa"/>
            <w:vAlign w:val="bottom"/>
          </w:tcPr>
          <w:p>
            <w:pPr>
              <w:ind w:left="100"/>
              <w:spacing w:after="0"/>
              <w:rPr>
                <w:sz w:val="20"/>
                <w:szCs w:val="20"/>
                <w:color w:val="auto"/>
              </w:rPr>
            </w:pPr>
            <w:r>
              <w:rPr>
                <w:rFonts w:ascii="Arial" w:cs="Arial" w:eastAsia="Arial" w:hAnsi="Arial"/>
                <w:sz w:val="18"/>
                <w:szCs w:val="18"/>
                <w:color w:val="auto"/>
              </w:rPr>
              <w:t>Net loss for the period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comprehensive income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Share</w:t>
            </w:r>
            <w:r>
              <w:rPr>
                <w:rFonts w:ascii="Arial" w:cs="Arial" w:eastAsia="Arial" w:hAnsi="Arial"/>
                <w:sz w:val="18"/>
                <w:szCs w:val="18"/>
                <w:i w:val="1"/>
                <w:iCs w:val="1"/>
                <w:color w:val="auto"/>
              </w:rPr>
              <w:t>-</w:t>
            </w:r>
            <w:r>
              <w:rPr>
                <w:rFonts w:ascii="Arial" w:cs="Arial" w:eastAsia="Arial" w:hAnsi="Arial"/>
                <w:sz w:val="18"/>
                <w:szCs w:val="18"/>
                <w:color w:val="auto"/>
              </w:rPr>
              <w:t>based compensation</w:t>
            </w: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i w:val="1"/>
                <w:iCs w:val="1"/>
                <w:color w:val="auto"/>
                <w:w w:val="99"/>
              </w:rPr>
              <w:t>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March 31, 2022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(55,878)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26,389</w:t>
            </w:r>
          </w:p>
        </w:tc>
        <w:tc>
          <w:tcPr>
            <w:tcW w:w="0" w:type="dxa"/>
            <w:vAlign w:val="bottom"/>
          </w:tcPr>
          <w:p>
            <w:pPr>
              <w:spacing w:after="0"/>
              <w:rPr>
                <w:sz w:val="1"/>
                <w:szCs w:val="1"/>
                <w:color w:val="auto"/>
              </w:rPr>
            </w:pPr>
          </w:p>
        </w:tc>
      </w:tr>
      <w:tr>
        <w:trPr>
          <w:trHeight w:val="216"/>
        </w:trPr>
        <w:tc>
          <w:tcPr>
            <w:tcW w:w="3220" w:type="dxa"/>
            <w:vAlign w:val="bottom"/>
          </w:tcPr>
          <w:p>
            <w:pPr>
              <w:ind w:left="100"/>
              <w:spacing w:after="0"/>
              <w:rPr>
                <w:sz w:val="20"/>
                <w:szCs w:val="20"/>
                <w:color w:val="auto"/>
              </w:rPr>
            </w:pPr>
            <w:r>
              <w:rPr>
                <w:rFonts w:ascii="Arial" w:cs="Arial" w:eastAsia="Arial" w:hAnsi="Arial"/>
                <w:sz w:val="18"/>
                <w:szCs w:val="18"/>
                <w:color w:val="auto"/>
              </w:rPr>
              <w:t>Net loss for the period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comprehensive income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3220" w:type="dxa"/>
            <w:vAlign w:val="bottom"/>
          </w:tcPr>
          <w:p>
            <w:pPr>
              <w:ind w:left="100"/>
              <w:spacing w:after="0"/>
              <w:rPr>
                <w:sz w:val="20"/>
                <w:szCs w:val="20"/>
                <w:color w:val="auto"/>
              </w:rPr>
            </w:pPr>
            <w:r>
              <w:rPr>
                <w:rFonts w:ascii="Arial" w:cs="Arial" w:eastAsia="Arial" w:hAnsi="Arial"/>
                <w:sz w:val="18"/>
                <w:szCs w:val="18"/>
                <w:color w:val="auto"/>
              </w:rPr>
              <w:t>Issuance of shares for cash</w:t>
            </w:r>
          </w:p>
        </w:tc>
        <w:tc>
          <w:tcPr>
            <w:tcW w:w="720" w:type="dxa"/>
            <w:vAlign w:val="bottom"/>
          </w:tcPr>
          <w:p>
            <w:pPr>
              <w:jc w:val="center"/>
              <w:spacing w:after="0"/>
              <w:rPr>
                <w:sz w:val="20"/>
                <w:szCs w:val="20"/>
                <w:color w:val="auto"/>
              </w:rPr>
            </w:pPr>
            <w:r>
              <w:rPr>
                <w:rFonts w:ascii="Arial" w:cs="Arial" w:eastAsia="Arial" w:hAnsi="Arial"/>
                <w:sz w:val="18"/>
                <w:szCs w:val="18"/>
                <w:i w:val="1"/>
                <w:iCs w:val="1"/>
                <w:color w:val="auto"/>
                <w:w w:val="99"/>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Transaction costs paid in shares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tcPr>
          <w:p>
            <w:pPr>
              <w:ind w:left="100"/>
              <w:spacing w:after="0"/>
              <w:rPr>
                <w:sz w:val="20"/>
                <w:szCs w:val="20"/>
                <w:color w:val="auto"/>
              </w:rPr>
            </w:pPr>
            <w:r>
              <w:rPr>
                <w:rFonts w:ascii="Arial" w:cs="Arial" w:eastAsia="Arial" w:hAnsi="Arial"/>
                <w:sz w:val="18"/>
                <w:szCs w:val="18"/>
                <w:color w:val="auto"/>
              </w:rPr>
              <w:t>Transaction costs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w:t>
            </w:r>
            <w:r>
              <w:rPr>
                <w:rFonts w:ascii="Arial" w:cs="Arial" w:eastAsia="Arial" w:hAnsi="Arial"/>
                <w:sz w:val="18"/>
                <w:szCs w:val="18"/>
                <w:i w:val="1"/>
                <w:iCs w:val="1"/>
                <w:color w:val="auto"/>
              </w:rPr>
              <w:t>-</w:t>
            </w:r>
            <w:r>
              <w:rPr>
                <w:rFonts w:ascii="Arial" w:cs="Arial" w:eastAsia="Arial" w:hAnsi="Arial"/>
                <w:sz w:val="18"/>
                <w:szCs w:val="18"/>
                <w:color w:val="auto"/>
              </w:rPr>
              <w:t>based compensation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20"/>
                <w:szCs w:val="20"/>
                <w:color w:val="auto"/>
              </w:rPr>
            </w:pPr>
            <w:r>
              <w:rPr>
                <w:rFonts w:ascii="Arial" w:cs="Arial" w:eastAsia="Arial" w:hAnsi="Arial"/>
                <w:sz w:val="18"/>
                <w:szCs w:val="18"/>
                <w:b w:val="1"/>
                <w:bCs w:val="1"/>
                <w:color w:val="auto"/>
              </w:rPr>
              <w:t>Equity at June 30, 2022</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(60,326)</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Other reserves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Foreign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4"/>
              </w:rPr>
              <w:t>premium</w:t>
            </w: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(USD</w:t>
            </w:r>
          </w:p>
        </w:tc>
        <w:tc>
          <w:tcPr>
            <w:tcW w:w="160" w:type="dxa"/>
            <w:vAlign w:val="bottom"/>
            <w:vMerge w:val="continue"/>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December 31, 2020</w:t>
            </w: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(27,279)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16"/>
        </w:trPr>
        <w:tc>
          <w:tcPr>
            <w:tcW w:w="3220" w:type="dxa"/>
            <w:vAlign w:val="bottom"/>
          </w:tcPr>
          <w:p>
            <w:pPr>
              <w:ind w:left="100"/>
              <w:spacing w:after="0"/>
              <w:rPr>
                <w:sz w:val="20"/>
                <w:szCs w:val="20"/>
                <w:color w:val="auto"/>
              </w:rPr>
            </w:pPr>
            <w:r>
              <w:rPr>
                <w:rFonts w:ascii="Arial" w:cs="Arial" w:eastAsia="Arial" w:hAnsi="Arial"/>
                <w:sz w:val="18"/>
                <w:szCs w:val="18"/>
                <w:color w:val="auto"/>
              </w:rPr>
              <w:t>Net loss for the period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comprehensive income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3220" w:type="dxa"/>
            <w:vAlign w:val="bottom"/>
          </w:tcPr>
          <w:p>
            <w:pPr>
              <w:ind w:left="100"/>
              <w:spacing w:after="0"/>
              <w:rPr>
                <w:sz w:val="20"/>
                <w:szCs w:val="20"/>
                <w:color w:val="auto"/>
              </w:rPr>
            </w:pPr>
            <w:r>
              <w:rPr>
                <w:rFonts w:ascii="Arial" w:cs="Arial" w:eastAsia="Arial" w:hAnsi="Arial"/>
                <w:sz w:val="18"/>
                <w:szCs w:val="18"/>
                <w:color w:val="auto"/>
              </w:rPr>
              <w:t>Tax effects on OCI</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3220" w:type="dxa"/>
            <w:vAlign w:val="bottom"/>
          </w:tcPr>
          <w:p>
            <w:pPr>
              <w:ind w:left="100"/>
              <w:spacing w:after="0"/>
              <w:rPr>
                <w:sz w:val="20"/>
                <w:szCs w:val="20"/>
                <w:color w:val="auto"/>
              </w:rPr>
            </w:pPr>
            <w:r>
              <w:rPr>
                <w:rFonts w:ascii="Arial" w:cs="Arial" w:eastAsia="Arial" w:hAnsi="Arial"/>
                <w:sz w:val="18"/>
                <w:szCs w:val="18"/>
                <w:color w:val="auto"/>
              </w:rPr>
              <w:t>Issuance of shares for cash</w:t>
            </w:r>
          </w:p>
        </w:tc>
        <w:tc>
          <w:tcPr>
            <w:tcW w:w="720" w:type="dxa"/>
            <w:vAlign w:val="bottom"/>
          </w:tcPr>
          <w:p>
            <w:pPr>
              <w:jc w:val="center"/>
              <w:spacing w:after="0"/>
              <w:rPr>
                <w:sz w:val="20"/>
                <w:szCs w:val="20"/>
                <w:color w:val="auto"/>
              </w:rPr>
            </w:pPr>
            <w:r>
              <w:rPr>
                <w:rFonts w:ascii="Arial" w:cs="Arial" w:eastAsia="Arial" w:hAnsi="Arial"/>
                <w:sz w:val="18"/>
                <w:szCs w:val="18"/>
                <w:i w:val="1"/>
                <w:iCs w:val="1"/>
                <w:color w:val="auto"/>
                <w:w w:val="99"/>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Transaction costs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20"/>
                <w:szCs w:val="20"/>
                <w:color w:val="auto"/>
              </w:rPr>
            </w:pPr>
            <w:r>
              <w:rPr>
                <w:rFonts w:ascii="Arial" w:cs="Arial" w:eastAsia="Arial" w:hAnsi="Arial"/>
                <w:sz w:val="18"/>
                <w:szCs w:val="18"/>
                <w:b w:val="1"/>
                <w:bCs w:val="1"/>
                <w:color w:val="auto"/>
              </w:rPr>
              <w:t>Equity at March 31, 2021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3,132</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56,254</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(31,078)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27,799</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for the period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0" w:type="dxa"/>
            <w:vAlign w:val="bottom"/>
          </w:tcPr>
          <w:p>
            <w:pPr>
              <w:spacing w:after="0"/>
              <w:rPr>
                <w:sz w:val="1"/>
                <w:szCs w:val="1"/>
                <w:color w:val="auto"/>
              </w:rPr>
            </w:pPr>
          </w:p>
        </w:tc>
      </w:tr>
      <w:tr>
        <w:trPr>
          <w:trHeight w:val="216"/>
        </w:trPr>
        <w:tc>
          <w:tcPr>
            <w:tcW w:w="322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effects on OCI</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Share</w:t>
            </w:r>
            <w:r>
              <w:rPr>
                <w:rFonts w:ascii="Arial" w:cs="Arial" w:eastAsia="Arial" w:hAnsi="Arial"/>
                <w:sz w:val="18"/>
                <w:szCs w:val="18"/>
                <w:i w:val="1"/>
                <w:iCs w:val="1"/>
                <w:color w:val="auto"/>
              </w:rPr>
              <w:t>-</w:t>
            </w:r>
            <w:r>
              <w:rPr>
                <w:rFonts w:ascii="Arial" w:cs="Arial" w:eastAsia="Arial" w:hAnsi="Arial"/>
                <w:sz w:val="18"/>
                <w:szCs w:val="18"/>
                <w:color w:val="auto"/>
              </w:rPr>
              <w:t>based compensation</w:t>
            </w: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i w:val="1"/>
                <w:iCs w:val="1"/>
                <w:color w:val="auto"/>
                <w:w w:val="99"/>
              </w:rPr>
              <w:t>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 June 30, 2021</w:t>
            </w: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(37,471)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EVAXION BIOTECH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Interim Statements of Cash Flows</w:t>
      </w:r>
    </w:p>
    <w:p>
      <w:pPr>
        <w:spacing w:after="0" w:line="234"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Six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5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r>
      <w:tr>
        <w:trPr>
          <w:trHeight w:val="128"/>
        </w:trPr>
        <w:tc>
          <w:tcPr>
            <w:tcW w:w="5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ind w:left="300"/>
              <w:spacing w:after="0" w:line="129" w:lineRule="exact"/>
              <w:rPr>
                <w:sz w:val="20"/>
                <w:szCs w:val="20"/>
                <w:color w:val="auto"/>
              </w:rPr>
            </w:pPr>
            <w:r>
              <w:rPr>
                <w:rFonts w:ascii="Arial" w:cs="Arial" w:eastAsia="Arial" w:hAnsi="Arial"/>
                <w:sz w:val="14"/>
                <w:szCs w:val="14"/>
                <w:b w:val="1"/>
                <w:bCs w:val="1"/>
                <w:color w:val="auto"/>
              </w:rPr>
              <w:t>(USD in</w:t>
            </w:r>
          </w:p>
        </w:tc>
        <w:tc>
          <w:tcPr>
            <w:tcW w:w="940" w:type="dxa"/>
            <w:vAlign w:val="bottom"/>
            <w:gridSpan w:val="2"/>
          </w:tcPr>
          <w:p>
            <w:pPr>
              <w:jc w:val="right"/>
              <w:ind w:right="291"/>
              <w:spacing w:after="0" w:line="129" w:lineRule="exact"/>
              <w:rPr>
                <w:sz w:val="20"/>
                <w:szCs w:val="20"/>
                <w:color w:val="auto"/>
              </w:rPr>
            </w:pPr>
            <w:r>
              <w:rPr>
                <w:rFonts w:ascii="Arial" w:cs="Arial" w:eastAsia="Arial" w:hAnsi="Arial"/>
                <w:sz w:val="14"/>
                <w:szCs w:val="14"/>
                <w:b w:val="1"/>
                <w:bCs w:val="1"/>
                <w:color w:val="auto"/>
                <w:w w:val="71"/>
              </w:rPr>
              <w:t>thousands)</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(10,559)</w:t>
            </w:r>
          </w:p>
        </w:tc>
        <w:tc>
          <w:tcPr>
            <w:tcW w:w="180" w:type="dxa"/>
            <w:vAlign w:val="bottom"/>
          </w:tcPr>
          <w:p>
            <w:pPr>
              <w:spacing w:after="0"/>
              <w:rPr>
                <w:sz w:val="18"/>
                <w:szCs w:val="18"/>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(10,912)</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non-cash items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16"/>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paid</w:t>
            </w: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 before changes in working capital</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(11,823)</w:t>
            </w:r>
          </w:p>
        </w:tc>
      </w:tr>
      <w:tr>
        <w:trPr>
          <w:trHeight w:val="216"/>
        </w:trPr>
        <w:tc>
          <w:tcPr>
            <w:tcW w:w="5920" w:type="dxa"/>
            <w:vAlign w:val="bottom"/>
          </w:tcPr>
          <w:p>
            <w:pPr>
              <w:spacing w:after="0"/>
              <w:rPr>
                <w:sz w:val="20"/>
                <w:szCs w:val="20"/>
                <w:color w:val="auto"/>
              </w:rPr>
            </w:pPr>
            <w:r>
              <w:rPr>
                <w:rFonts w:ascii="Arial" w:cs="Arial" w:eastAsia="Arial" w:hAnsi="Arial"/>
                <w:sz w:val="18"/>
                <w:szCs w:val="18"/>
                <w:i w:val="1"/>
                <w:iCs w:val="1"/>
                <w:color w:val="auto"/>
              </w:rPr>
              <w:t>Cash flow from changes in working capital:</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net working capital</w:t>
            </w:r>
          </w:p>
        </w:tc>
        <w:tc>
          <w:tcPr>
            <w:tcW w:w="9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9"/>
        </w:trPr>
        <w:tc>
          <w:tcPr>
            <w:tcW w:w="5920" w:type="dxa"/>
            <w:vAlign w:val="bottom"/>
          </w:tcPr>
          <w:p>
            <w:pPr>
              <w:ind w:left="220"/>
              <w:spacing w:after="0"/>
              <w:rPr>
                <w:sz w:val="20"/>
                <w:szCs w:val="20"/>
                <w:color w:val="auto"/>
              </w:rPr>
            </w:pPr>
            <w:r>
              <w:rPr>
                <w:rFonts w:ascii="Arial" w:cs="Arial" w:eastAsia="Arial" w:hAnsi="Arial"/>
                <w:sz w:val="18"/>
                <w:szCs w:val="18"/>
                <w:b w:val="1"/>
                <w:bCs w:val="1"/>
                <w:color w:val="auto"/>
              </w:rPr>
              <w:t>Net cash used in operating activities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(13,376)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(11,523)</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Investment in intangible assets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16"/>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Receipt of non-current financial assets – leasehold deposits</w:t>
            </w: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9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(822)</w:t>
            </w:r>
          </w:p>
        </w:tc>
      </w:tr>
      <w:tr>
        <w:trPr>
          <w:trHeight w:val="209"/>
        </w:trPr>
        <w:tc>
          <w:tcPr>
            <w:tcW w:w="59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Transaction costs related to issuance of shares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(2,605)</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Repayment of borrowings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Leasing installments</w:t>
            </w:r>
          </w:p>
        </w:tc>
        <w:tc>
          <w:tcPr>
            <w:tcW w:w="9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09"/>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cash provided by financing activities</w:t>
            </w: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25,217</w:t>
            </w: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12,872</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5,834</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Exchange rate adjustments on cash and cash equivalents</w:t>
            </w:r>
          </w:p>
        </w:tc>
        <w:tc>
          <w:tcPr>
            <w:tcW w:w="9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5920" w:type="dxa"/>
            <w:vAlign w:val="bottom"/>
          </w:tcPr>
          <w:p>
            <w:pPr>
              <w:spacing w:after="0"/>
              <w:rPr>
                <w:sz w:val="20"/>
                <w:szCs w:val="20"/>
                <w:color w:val="auto"/>
              </w:rPr>
            </w:pPr>
            <w:r>
              <w:rPr>
                <w:rFonts w:ascii="Arial" w:cs="Arial" w:eastAsia="Arial" w:hAnsi="Arial"/>
                <w:sz w:val="18"/>
                <w:szCs w:val="18"/>
                <w:b w:val="1"/>
                <w:bCs w:val="1"/>
                <w:color w:val="auto"/>
              </w:rPr>
              <w:t>Cash and cash equivalents at June 30</w:t>
            </w:r>
          </w:p>
        </w:tc>
        <w:tc>
          <w:tcPr>
            <w:tcW w:w="9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25,252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18,799</w:t>
            </w:r>
          </w:p>
        </w:tc>
      </w:tr>
      <w:tr>
        <w:trPr>
          <w:trHeight w:val="20"/>
        </w:trPr>
        <w:tc>
          <w:tcPr>
            <w:tcW w:w="5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General Company Information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Evaxion Biotech A/S (the “Company” or “Evaxion”) is a clinical-stage biotech company developing AI-powered immunotherapies. Evaxion uses its proprietary and scalable artificial intelligence, or AI, technology to decode the human immune system to identify and develop immunotherapies for patients in the global market. Unless the context otherwise requires, references to the “Company,” “Evaxion,” “we,” “us,” and “our”, refer to Evaxion Biotech A/S and its subsidiaries.</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Evaxion is a public limited liability company incorporated and domiciled in Denmark with its registered office located at Dr. Neergaards Vej 5f, DK-2970 Hørsholm, Denmark.</w:t>
      </w:r>
    </w:p>
    <w:p>
      <w:pPr>
        <w:spacing w:after="0" w:line="17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unaudited condensed consolidated interim financial statements of Evaxion Biotech A/S and its subsidiaries (collectively, the “Group”) for the three and six months ended June 30, 2022 and 2021, were approved, and authorized for issuance, by the Audit Committee of the board of directors on August 8,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 and Going Concern Assessment</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anticipate incurring additional losses until such time, if ever, we can complete our research and development (“R&amp;D”) activities and obtain an out-licensing partnership for our product candidates and generate revenues from such product candidates. Substantial additional financing will be needed by us to fund our operations and to continue development of our product candidates.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expect to finance cash needs through equity offerings, debt financings or other capital sources, including potential collaborations, licenses and other similar arrangements.</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may be unable to raise additional funds or enter into such other arrangements when needed on favorable terms or at all. To the extent that we raise additional capital through the sale of equity or convertible debt securities, the ownership interest of current shareholders could be diluted, and the terms of these securities may include liquidation or other preferences that adversely affect the rights of the current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and/or may reduce the value of our ordinary shares. Failure to raise capital or enter into such other arrangements when needed could have a negative impact on our financial condition and our ability to pursue our business plans and strategies. If we are unable to raise additional capital when needed, we could be forced to delay, limit, reduce or terminate our product candidate development or grant rights to develop and market our product candidates.</w:t>
      </w:r>
    </w:p>
    <w:p>
      <w:pPr>
        <w:spacing w:after="0" w:line="16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On June 7, 2022 we entered into a Purchase Agreement (the “Purchase Agreement”) with an unrelated third party, Lincoln Park Capital Fund, LLC (“Lincoln Park”), to sell up to $40.0 million of our ordinary shares represented by American Depository Shares (“ADSs”) over a 36 month period. We are not obligated to sell any ordinary shares represented by ADSs pursuant to the Purchase Agreement and will control the timing and amount of any such sales, but in no event will Lincoln Park be required to purchase more than $1.5 million in ordinary shares represented by ADSs in any single regular purchase. Upon execution and delivery of the Purchase Agreement, we issued 428,572 ordinary shares represented by ADSs as consideration for a commitment fee of $1.2 million for Lincoln Park’s commitment to purchase our ordinary shares represented by ADSs under the Purchase Agreement. As of June 30, 2022, we had not issued and sold any additional ordinary shares represented by ADSs to Lincoln Park under the Purchase Agreement.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Preparation</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unaudited condensed consolidated interim financial statements of the Company are prepared in accordance with International Accounting Standard 34, “</w:t>
      </w:r>
      <w:r>
        <w:rPr>
          <w:rFonts w:ascii="Arial" w:cs="Arial" w:eastAsia="Arial" w:hAnsi="Arial"/>
          <w:sz w:val="17"/>
          <w:szCs w:val="17"/>
          <w:i w:val="1"/>
          <w:iCs w:val="1"/>
          <w:color w:val="auto"/>
        </w:rPr>
        <w:t>Interim Financial Reporting</w:t>
      </w:r>
      <w:r>
        <w:rPr>
          <w:rFonts w:ascii="Arial" w:cs="Arial" w:eastAsia="Arial" w:hAnsi="Arial"/>
          <w:sz w:val="17"/>
          <w:szCs w:val="17"/>
          <w:color w:val="auto"/>
        </w:rPr>
        <w:t>.” Certain information and disclosures normally included in the annual consolidated financial statements prepared in accordance with International Financial Reporting Standards (“IFRS”) have been condensed or omitted. Accordingly, these unaudited condensed consolidated interim financial statements should be read in conjunction with the Company’s audited annual consolidated financial statements for the year ended December 31, 2021 and accompanying notes, which have been prepared in accordance with IFRS as issued by the International Accounting Standards Board.</w:t>
      </w:r>
    </w:p>
    <w:p>
      <w:pPr>
        <w:spacing w:after="0" w:line="17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preparation of financial statements in conformity with IFRS requires the use of certain critical accounting estimates and requires management to exercise its judgment in the process of applying the Company’s accounting policies. The areas involving a higher degree of judgment or complexity, or areas where assumptions and estimates are significant to the unaudited condensed consolidated interim financial statements are disclosed in Note 3.</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accounting policies applied are consistent with the accounting policies as outlined in the basis of presentation section included in Note 2 of the audited financial statements as of and for the year ended December 31, 2021. As of January 1, 2022, the following accounting policy in respect to the Company’s loan and warrants with European Investment Bank (“EIB”) are in effect: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EIB Loan</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All loans and borrowings are classified as financial liabilities and are initially recorded at fair value less the value attributable to any separately accounted for embedded derivative. Further, considerations from the lender for other elements in the transaction are accounted for separately. After initial recognition, any such loans and borrowings are measured at amortized cost using the effective interest method, with the amortization recognized in finance costs.</w:t>
      </w:r>
    </w:p>
    <w:p>
      <w:pPr>
        <w:spacing w:after="0" w:line="171"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August 2020, we executed the EIB Loan Agreement, with EIB for a principal amount of €20.0 million, divided into three tranches of €7.0 million, €6.0 million, and €7.0 million (the “EIB Loan”). During the year ended December 31, 2021, the Company initiated the draw of the first tranche of the EIB Loan Agreement. The Company received the proceeds from the draw of the first tranche of €7.0 million (approximately $7.8 million) on February 17, 2022. Under the EIB Loan Agreement, the EIB Loan tranche balances are due six years from their respective disbursement dates. We received the first tranche of €7.0 million (approximately $7.8 million) on February 17, 2022. The loan is initially recorded at fair value less the value attributable to any separately accounted for embedded derivative. The loan is subsequently measured at amortized cost, with the unwinding of the discount recorded in finance costs over the life of the loan.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EIB Warrants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Under the EIB Loan Agreement, EIB is entitled to an aggregate of 1,003,032 cash settled EIB Warrants with an exercise price of 1 DKK per warrant for all tranches (the “EIB Warrants”). On February 17, 2022, 351,036 EIB Warrants were issued to EIB as part of the drawdown of the first tranche of the EIB Loan. The EIB Warrants are part of the overall return to EIB on the financing arrangement and are thus accounted for in accordance with the Financial Instruments Standards (IAS) 32 and IFRS 9. EIB is entitled to elect net in cash settlement of its warrants at any time, and consequently a financial liability for the redemption amount is recognized.</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liability is measured initially at its fair value and is subsequently remeasured at the redemption amount. The redemption amount is equal to the current share price. The remeasurements are presented as finance expense or finance income.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Standards issued but not yet effective</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There were a number of standards and interpretations which were issued but were not yet effective at June 30, 2022 and have not been adopted for these financial statements, including:</w:t>
      </w:r>
    </w:p>
    <w:p>
      <w:pPr>
        <w:spacing w:after="0" w:line="170" w:lineRule="exact"/>
        <w:rPr>
          <w:sz w:val="20"/>
          <w:szCs w:val="20"/>
          <w:color w:val="auto"/>
        </w:rPr>
      </w:pPr>
    </w:p>
    <w:p>
      <w:pPr>
        <w:ind w:left="720" w:right="79" w:hanging="319"/>
        <w:spacing w:after="0" w:line="277"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Amendments to IAS 1 Presentation of Financial Statements: Classification of Liabilities as Current or Non-current (January 1, 2023)</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Amendment to IAS 1 Presentation of Financial Statements: Disclosure of Accounting Policies (January 1, 2023)</w:t>
      </w:r>
    </w:p>
    <w:p>
      <w:pPr>
        <w:spacing w:after="0" w:line="248"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Amendment to IAS 8 Accounting Policies, Changes in Accounting Estimates and Errors: Definition of Accounting Estimates (January 1, 2023)</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expects to adopt these standards, updates and interpretations when they become mandatory. These standards are not expected to have a significant impact on disclosures or amounts reported in the Company’s financial statements in the period of initial application and future reporting periods.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Significant Accounting Judgements, Estimates, and Assumptions</w:t>
      </w:r>
    </w:p>
    <w:p>
      <w:pPr>
        <w:spacing w:after="0" w:line="22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In the application of its accounting policies, the Company is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critical accounting judgments and estimation uncertainties that are required in the annual consolidated financial statements, and therefore, should be read in conjunction with the Company’s audited consolidated financial statements as of and for the year ended December 31, 2021.</w:t>
      </w:r>
    </w:p>
    <w:p>
      <w:pPr>
        <w:spacing w:after="0" w:line="18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Significant accounting estimates made in the process of applying our accounting policies and that have the most significant effect on the amounts recognized in our unaudited condensed consolidated interim financial statements relate to share-based compensation. See Note 7 below for additional information regarding share-based compensation.</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There have been no other changes to the application of critical accounting judgments, or estimation uncertainties regarding accounting estimates.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Significant Events in the Reporting Period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from COVID-19</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continues to closely monitor the potential impact of COVID-19 on the 2022 financial results and cash flows and beyond.</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has worked closely with laboratories and investigators to ensure safe continuation and working requirements of its ongoing research activities and human clinical trials. The Company has resumed business travel and has remained active and effective in the process of raising capital with institutional investors by conducting key meetings in person and on a virtual basis when appropriate. As of June 30, 2022, the Company has not experienced a materially negative impact from COVID-19 on the unaudited condensed consolidated interim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Russia’s Invasion of Ukraine</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February 24, 2022, Russia invaded Ukraine creating a global conflict. The resulting conflict and retaliatory measures by the global community have created global security concerns, including the possibility of expanded regional or global conflict, which have had, and are likely to continue to have, short-term and more likely longer-term adverse impacts on Ukraine and Europe and around the globe. Potential ramifications include disruption of the supply chain including research activities and complications with the conduct of ongoing and future clinical trials of our product candidates, including patient enrollment. The Company relies on global networks of contract research organizations and clinical trial sites to enroll patients. Delays in research activities or in the conduct of our clinical trials could increase associated costs and, depending upon the duration of any delays, require us to find alternative suppliers at additional expense. In addition, the conflict between Russia and the Ukraine has had significant ramifications on global financial markets, which may adversely impact our ability to raise capital on favorable terms or at all. As of June 30, 2022, the Company has not experienced a materially negative impact from Russia’s invasion of Ukraine on the unaudited condensed consolidated interim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Borrowings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Loan from Lessor</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October 2020, the Company entered into a lease for approximately 1,356 square meters, which is allocated on 839 square meters of office space, and 518 square meters of laboratory space in Hørsholm, Denmark. In addition to the ordinary lease payments, the Company obtained financing from DTU Science Park A/S (“DTU”) for rebuilding the laboratory facility and engineering building to match the Company’s needs. The Company will repay the $1.3 million financing at a fixed interest rate of 6% over 8 years. If the lease is terminated due to default by the Company before the outstanding balance, including interest accrued, has been repaid, the remaining balance is due immediately. The finance liability is recorded at amortized cost, which approximates fair value at the time of issuance. As of June 30, 2022, the Company is still in discussions with DTU on the actual costs incurred. For the three and six months ended June 30, 2022, interest expense related to the loan from lessor was immaterial.</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As a result of the structure of the DTU financing this amount is not included as </w:t>
      </w:r>
      <w:r>
        <w:rPr>
          <w:rFonts w:ascii="Arial" w:cs="Arial" w:eastAsia="Arial" w:hAnsi="Arial"/>
          <w:sz w:val="18"/>
          <w:szCs w:val="18"/>
          <w:i w:val="1"/>
          <w:iCs w:val="1"/>
          <w:color w:val="auto"/>
        </w:rPr>
        <w:t>Purchase of property, plant and equipment</w:t>
      </w:r>
      <w:r>
        <w:rPr>
          <w:rFonts w:ascii="Arial" w:cs="Arial" w:eastAsia="Arial" w:hAnsi="Arial"/>
          <w:sz w:val="18"/>
          <w:szCs w:val="18"/>
          <w:color w:val="auto"/>
        </w:rPr>
        <w:t xml:space="preserve"> within the condensed consolidated interim statements of cash flows. The leasehold improvements recognized will be subject for adjustment when the actual costs incurred are made available from DTU.</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EIB Loan</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August 2020, the Company executed the EIB Loan, for a principal amount of €20.0 million, divided into three tranches of tranche 1 in the amount of €7.0 million, tranche 2 in the amount of €6.0 million and tranche 3 in the amount of €7.0 million. Under the EIB Loan Agreement, the tranche balances are due six years from their respective disbursement dates.</w:t>
      </w:r>
    </w:p>
    <w:p>
      <w:pPr>
        <w:spacing w:after="0" w:line="14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During the year ended December 31, 2021, the Company initiated the draw of the first tranche of the EIB Loan Agreement. The Company received the proceeds from the draw of the first tranche of €7.0 million (approximately $7.8 million) on February 17, 2022. For the three and six months ended June 30, 2022, interest expense related to the EIB Loan was $0.2 million and $0.2 million, respectively. The loan is repayable in full six years after drawing down.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Borrowings are summarized as follows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55"/>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66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Loan from lessor</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EIB Loan</w:t>
            </w:r>
          </w:p>
        </w:tc>
        <w:tc>
          <w:tcPr>
            <w:tcW w:w="1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Borrowings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16"/>
        </w:trPr>
        <w:tc>
          <w:tcPr>
            <w:tcW w:w="4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Borrowings, current portion</w:t>
            </w:r>
          </w:p>
        </w:tc>
        <w:tc>
          <w:tcPr>
            <w:tcW w:w="1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10"/>
        </w:trPr>
        <w:tc>
          <w:tcPr>
            <w:tcW w:w="4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Borrowings, net of current portion</w:t>
            </w:r>
          </w:p>
        </w:tc>
        <w:tc>
          <w:tcPr>
            <w:tcW w:w="1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r>
      <w:tr>
        <w:trPr>
          <w:trHeight w:val="20"/>
        </w:trPr>
        <w:tc>
          <w:tcPr>
            <w:tcW w:w="4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Warrant Liability</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received the proceeds from the draw of the first tranche of the EIB Loan on February 17, 2022. In connection therewith, EIB received 351,036 EIB Warrants, at an exercise price of DKK 1 per warrant, which vested immediately, pursuant to the terms of a separate warrant agreement, the EIB Warrant Agreement. The EIB Warrants are exercisable at any time after issuance either net in cash or through payment of the exercise price and receipt of shares. Therefore, the warrant liability is recognized in full upon issuance. The liability is measured initially at its fair value and is subsequently remeasured at the present value of the redemption amount. The liability is classified in level 1 of the fair value hierarchy. Due to the fact that the exercise price is insignificant compared to the share price, there is virtually no time value. Consequently, the present value of the redemption amount is equal to the current share price.</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the warrant liability is a non-cash financing cost the amount related to the initial recognition of the warrant liability is not included within the condensed consolidated interim statements of cash flows.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changes to the warrant liability:</w:t>
      </w:r>
    </w:p>
    <w:p>
      <w:pPr>
        <w:spacing w:after="0" w:line="230"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Warrant Liability</w:t>
      </w:r>
    </w:p>
    <w:p>
      <w:pPr>
        <w:spacing w:after="0" w:line="4" w:lineRule="exact"/>
        <w:rPr>
          <w:sz w:val="20"/>
          <w:szCs w:val="20"/>
          <w:color w:val="auto"/>
        </w:rPr>
      </w:pPr>
    </w:p>
    <w:p>
      <w:pPr>
        <w:ind w:left="7740"/>
        <w:spacing w:after="0"/>
        <w:rPr>
          <w:sz w:val="20"/>
          <w:szCs w:val="20"/>
          <w:color w:val="auto"/>
        </w:rPr>
      </w:pPr>
      <w:r>
        <w:rPr>
          <w:rFonts w:ascii="Arial" w:cs="Arial" w:eastAsia="Arial" w:hAnsi="Arial"/>
          <w:sz w:val="13"/>
          <w:szCs w:val="13"/>
          <w:b w:val="1"/>
          <w:bCs w:val="1"/>
          <w:u w:val="single" w:color="auto"/>
          <w:color w:val="auto"/>
        </w:rPr>
        <w:t>(USD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3810</wp:posOffset>
            </wp:positionV>
            <wp:extent cx="564896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Carrying amount at January 1, 2022</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Initial recognition of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13335</wp:posOffset>
            </wp:positionV>
            <wp:extent cx="56489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Remeasurement of warrant liability</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Carrying amount at June 30, 2022</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Share-Based Payments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Warrant Program and Amendments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010" w:hanging="1010"/>
        <w:spacing w:after="0"/>
        <w:tabs>
          <w:tab w:leader="none" w:pos="101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790"/>
        <w:spacing w:after="0"/>
        <w:rPr>
          <w:rFonts w:ascii="Arial" w:cs="Arial" w:eastAsia="Arial" w:hAnsi="Arial"/>
          <w:sz w:val="18"/>
          <w:szCs w:val="18"/>
          <w:color w:val="auto"/>
        </w:rPr>
      </w:pPr>
      <w:r>
        <w:rPr>
          <w:rFonts w:ascii="Arial" w:cs="Arial" w:eastAsia="Arial" w:hAnsi="Arial"/>
          <w:sz w:val="18"/>
          <w:szCs w:val="18"/>
          <w:color w:val="auto"/>
        </w:rPr>
        <w:t>1,007</w:t>
      </w:r>
    </w:p>
    <w:p>
      <w:pPr>
        <w:spacing w:after="0" w:line="9" w:lineRule="exact"/>
        <w:rPr>
          <w:rFonts w:ascii="Arial" w:cs="Arial" w:eastAsia="Arial" w:hAnsi="Arial"/>
          <w:sz w:val="18"/>
          <w:szCs w:val="18"/>
          <w:color w:val="auto"/>
        </w:rPr>
      </w:pPr>
    </w:p>
    <w:p>
      <w:pPr>
        <w:ind w:left="850"/>
        <w:spacing w:after="0"/>
        <w:rPr>
          <w:rFonts w:ascii="Arial" w:cs="Arial" w:eastAsia="Arial" w:hAnsi="Arial"/>
          <w:sz w:val="18"/>
          <w:szCs w:val="18"/>
          <w:color w:val="auto"/>
        </w:rPr>
      </w:pPr>
      <w:r>
        <w:rPr>
          <w:rFonts w:ascii="Arial" w:cs="Arial" w:eastAsia="Arial" w:hAnsi="Arial"/>
          <w:sz w:val="17"/>
          <w:szCs w:val="17"/>
          <w:color w:val="auto"/>
        </w:rPr>
        <w:t>(385)</w:t>
      </w:r>
    </w:p>
    <w:p>
      <w:pPr>
        <w:spacing w:after="0" w:line="20" w:lineRule="exact"/>
        <w:rPr>
          <w:rFonts w:ascii="Arial" w:cs="Arial" w:eastAsia="Arial" w:hAnsi="Arial"/>
          <w:sz w:val="18"/>
          <w:szCs w:val="18"/>
          <w:color w:val="auto"/>
        </w:rPr>
      </w:pPr>
    </w:p>
    <w:p>
      <w:pPr>
        <w:ind w:left="109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9" w:lineRule="exact"/>
        <w:rPr>
          <w:sz w:val="20"/>
          <w:szCs w:val="20"/>
          <w:color w:val="auto"/>
        </w:rPr>
      </w:pPr>
    </w:p>
    <w:p>
      <w:pPr>
        <w:ind w:left="910" w:hanging="910"/>
        <w:spacing w:after="0"/>
        <w:tabs>
          <w:tab w:leader="none" w:pos="910" w:val="left"/>
        </w:tabs>
        <w:numPr>
          <w:ilvl w:val="0"/>
          <w:numId w:val="3"/>
        </w:numPr>
        <w:rPr>
          <w:rFonts w:ascii="Arial" w:cs="Arial" w:eastAsia="Arial" w:hAnsi="Arial"/>
          <w:sz w:val="18"/>
          <w:szCs w:val="18"/>
          <w:color w:val="auto"/>
        </w:rPr>
      </w:pPr>
      <w:r>
        <w:rPr>
          <w:rFonts w:ascii="Arial" w:cs="Arial" w:eastAsia="Arial" w:hAnsi="Arial"/>
          <w:sz w:val="18"/>
          <w:szCs w:val="18"/>
          <w:color w:val="auto"/>
        </w:rPr>
        <w:t>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886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105" w:lineRule="exact"/>
        <w:rPr>
          <w:sz w:val="20"/>
          <w:szCs w:val="20"/>
          <w:color w:val="auto"/>
        </w:rPr>
      </w:pPr>
    </w:p>
    <w:p>
      <w:pPr>
        <w:sectPr>
          <w:pgSz w:w="11900" w:h="16838" w:orient="portrait"/>
          <w:cols w:equalWidth="0" w:num="2">
            <w:col w:w="6990" w:space="720"/>
            <w:col w:w="1309"/>
          </w:cols>
          <w:pgMar w:left="1440" w:top="517" w:right="1440" w:bottom="1440" w:gutter="0" w:footer="0" w:header="0"/>
          <w:type w:val="continuous"/>
        </w:sectPr>
      </w:pPr>
    </w:p>
    <w:p>
      <w:pPr>
        <w:spacing w:after="0" w:line="3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Company’s Articles of Association allow for the granting of equity compensation, in the form of equity settled warrants, to employees, consultants and Scientific Advisory Board members who provide services similar to employees, members of executive management, and the board of directors. The warrants granted in 2018 or prior vested upon the closing of our initial public offering in February 2021 (“IPO”). The warrants granted in 2020 vest either gradually over 36 months or vest immediately. Vested warrants granted in 2020 are exercisable in certain exercise windows beginning in the second half of the year of 2021. Warrants granted up until 2019 expire on December 31, 2036. Warrants granted in 2020 expire on December 31, 2031. For the six months ended June 30, 2022 and 2021, the number of warrants as a percentage of outstanding ordinary shares was 11.0% and 11.8%, respectively.</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January 4, 2021, the Company effected its Stock Split which also resulted in a reduction of the nominal value of the Company’s ordinary shares from DKK 2 to DKK 1. In accordance with the anti-dilution provisions of the warrant agreements, the number of warrants was increased by a ratio of 36 to 1 and the exercise price was decreased from DKK 2 to 1 DKK. Accordingly, information related to the Company’s warrants, have been retroactively adjusted to reflect the stock split and the bonus shares for all periods presented.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schedule specifies the granted warrants: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Price/Share</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warrants</w:t>
            </w: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granted as at December 31, 2021</w:t>
            </w: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2,732,618</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line="210" w:lineRule="exact"/>
              <w:rPr>
                <w:sz w:val="20"/>
                <w:szCs w:val="20"/>
                <w:color w:val="auto"/>
              </w:rPr>
            </w:pPr>
            <w:r>
              <w:rPr>
                <w:rFonts w:ascii="Arial" w:cs="Arial" w:eastAsia="Arial" w:hAnsi="Arial"/>
                <w:sz w:val="17"/>
                <w:szCs w:val="17"/>
                <w:color w:val="auto"/>
                <w:w w:val="96"/>
              </w:rPr>
              <w:t xml:space="preserve">DKK 7.53 </w:t>
            </w:r>
            <w:r>
              <w:rPr>
                <w:rFonts w:ascii="Arial" w:cs="Arial" w:eastAsia="Arial" w:hAnsi="Arial"/>
                <w:sz w:val="24"/>
                <w:szCs w:val="24"/>
                <w:color w:val="auto"/>
                <w:w w:val="96"/>
                <w:vertAlign w:val="superscript"/>
              </w:rPr>
              <w:t>(1)</w:t>
            </w: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Arial" w:cs="Arial" w:eastAsia="Arial" w:hAnsi="Arial"/>
                <w:sz w:val="18"/>
                <w:szCs w:val="18"/>
                <w:color w:val="auto"/>
              </w:rPr>
              <w:t>Warrants exercised</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(201,314)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Arial" w:cs="Arial" w:eastAsia="Arial" w:hAnsi="Arial"/>
                <w:sz w:val="18"/>
                <w:szCs w:val="18"/>
                <w:color w:val="auto"/>
                <w:w w:val="92"/>
              </w:rPr>
              <w:t>USD 0.16</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Warrants granted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right="19"/>
              <w:spacing w:after="0"/>
              <w:rPr>
                <w:sz w:val="20"/>
                <w:szCs w:val="20"/>
                <w:color w:val="auto"/>
              </w:rPr>
            </w:pPr>
            <w:r>
              <w:rPr>
                <w:rFonts w:ascii="Arial" w:cs="Arial" w:eastAsia="Arial" w:hAnsi="Arial"/>
                <w:sz w:val="18"/>
                <w:szCs w:val="18"/>
                <w:color w:val="auto"/>
                <w:w w:val="92"/>
              </w:rPr>
              <w:t>USD 2.23</w:t>
            </w: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Arial" w:cs="Arial" w:eastAsia="Arial" w:hAnsi="Arial"/>
                <w:sz w:val="18"/>
                <w:szCs w:val="18"/>
                <w:color w:val="auto"/>
              </w:rPr>
              <w:t>Warrants forfeited</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(5,687)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Arial" w:cs="Arial" w:eastAsia="Arial" w:hAnsi="Arial"/>
                <w:sz w:val="18"/>
                <w:szCs w:val="18"/>
                <w:color w:val="auto"/>
                <w:w w:val="92"/>
              </w:rPr>
              <w:t>USD 5.36</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Warrants cancelled</w:t>
            </w:r>
          </w:p>
        </w:tc>
        <w:tc>
          <w:tcPr>
            <w:tcW w:w="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9"/>
        </w:trPr>
        <w:tc>
          <w:tcPr>
            <w:tcW w:w="5640" w:type="dxa"/>
            <w:vAlign w:val="bottom"/>
            <w:tcBorders>
              <w:bottom w:val="single" w:sz="8" w:color="CCEEFF"/>
            </w:tcBorders>
          </w:tcPr>
          <w:p>
            <w:pPr>
              <w:spacing w:after="0" w:line="210" w:lineRule="exact"/>
              <w:rPr>
                <w:sz w:val="20"/>
                <w:szCs w:val="20"/>
                <w:color w:val="auto"/>
              </w:rPr>
            </w:pPr>
            <w:r>
              <w:rPr>
                <w:rFonts w:ascii="Arial" w:cs="Arial" w:eastAsia="Arial" w:hAnsi="Arial"/>
                <w:sz w:val="17"/>
                <w:szCs w:val="17"/>
                <w:color w:val="auto"/>
              </w:rPr>
              <w:t xml:space="preserve">Warrants granted as at June 30, 2022 </w:t>
            </w:r>
            <w:r>
              <w:rPr>
                <w:rFonts w:ascii="Arial" w:cs="Arial" w:eastAsia="Arial" w:hAnsi="Arial"/>
                <w:sz w:val="24"/>
                <w:szCs w:val="24"/>
                <w:color w:val="auto"/>
                <w:vertAlign w:val="superscript"/>
              </w:rPr>
              <w:t>(3)</w:t>
            </w: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2,625,617</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jc w:val="center"/>
              <w:spacing w:after="0" w:line="210" w:lineRule="exact"/>
              <w:rPr>
                <w:sz w:val="20"/>
                <w:szCs w:val="20"/>
                <w:color w:val="auto"/>
              </w:rPr>
            </w:pPr>
            <w:r>
              <w:rPr>
                <w:rFonts w:ascii="Arial" w:cs="Arial" w:eastAsia="Arial" w:hAnsi="Arial"/>
                <w:sz w:val="17"/>
                <w:szCs w:val="17"/>
                <w:color w:val="auto"/>
                <w:w w:val="95"/>
              </w:rPr>
              <w:t xml:space="preserve">USD 1.27 </w:t>
            </w:r>
            <w:r>
              <w:rPr>
                <w:rFonts w:ascii="Arial" w:cs="Arial" w:eastAsia="Arial" w:hAnsi="Arial"/>
                <w:sz w:val="24"/>
                <w:szCs w:val="24"/>
                <w:color w:val="auto"/>
                <w:w w:val="95"/>
                <w:vertAlign w:val="superscript"/>
              </w:rPr>
              <w:t>(2)</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Warrants exercisable as at June 30, 2022</w:t>
            </w:r>
          </w:p>
        </w:tc>
        <w:tc>
          <w:tcPr>
            <w:tcW w:w="15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2,020,351</w:t>
            </w: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right="19"/>
              <w:spacing w:after="0" w:line="196" w:lineRule="exact"/>
              <w:rPr>
                <w:sz w:val="20"/>
                <w:szCs w:val="20"/>
                <w:color w:val="auto"/>
              </w:rPr>
            </w:pPr>
            <w:r>
              <w:rPr>
                <w:rFonts w:ascii="Arial" w:cs="Arial" w:eastAsia="Arial" w:hAnsi="Arial"/>
                <w:sz w:val="18"/>
                <w:szCs w:val="18"/>
                <w:color w:val="auto"/>
                <w:w w:val="92"/>
              </w:rPr>
              <w:t>USD 0.44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line="20" w:lineRule="exact"/>
              <w:rPr>
                <w:sz w:val="1"/>
                <w:szCs w:val="1"/>
                <w:color w:val="auto"/>
              </w:rPr>
            </w:pPr>
          </w:p>
        </w:tc>
      </w:tr>
      <w:tr>
        <w:trPr>
          <w:trHeight w:val="336"/>
        </w:trPr>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Price/Share</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warrants</w:t>
            </w:r>
          </w:p>
        </w:tc>
        <w:tc>
          <w:tcPr>
            <w:tcW w:w="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(DKK)</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granted as at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2,228,076</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Arial" w:cs="Arial" w:eastAsia="Arial" w:hAnsi="Arial"/>
                <w:sz w:val="18"/>
                <w:szCs w:val="18"/>
                <w:color w:val="auto"/>
              </w:rPr>
              <w:t>Warrants granted</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63,809</w:t>
            </w:r>
          </w:p>
        </w:tc>
        <w:tc>
          <w:tcPr>
            <w:tcW w:w="24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Warrants forfeited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Arial" w:cs="Arial" w:eastAsia="Arial" w:hAnsi="Arial"/>
                <w:sz w:val="18"/>
                <w:szCs w:val="18"/>
                <w:color w:val="auto"/>
              </w:rPr>
              <w:t>Warrants cancelled</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(10,404)</w:t>
            </w:r>
          </w:p>
        </w:tc>
        <w:tc>
          <w:tcPr>
            <w:tcW w:w="24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granted as at June 30, 2021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2,273,915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Warrants exercisable as at June 30, 2021</w:t>
            </w: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197"/>
        </w:trPr>
        <w:tc>
          <w:tcPr>
            <w:tcW w:w="56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40" w:hanging="394"/>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December 31, 2021 USD-end rate used.</w:t>
      </w:r>
    </w:p>
    <w:p>
      <w:pPr>
        <w:spacing w:after="0" w:line="23" w:lineRule="exact"/>
        <w:rPr>
          <w:rFonts w:ascii="Arial" w:cs="Arial" w:eastAsia="Arial" w:hAnsi="Arial"/>
          <w:sz w:val="18"/>
          <w:szCs w:val="18"/>
          <w:color w:val="auto"/>
        </w:rPr>
      </w:pPr>
    </w:p>
    <w:p>
      <w:pPr>
        <w:ind w:left="1740" w:hanging="394"/>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June 30, 2022 USD-end rate used.</w:t>
      </w:r>
    </w:p>
    <w:p>
      <w:pPr>
        <w:spacing w:after="0" w:line="9" w:lineRule="exact"/>
        <w:rPr>
          <w:rFonts w:ascii="Arial" w:cs="Arial" w:eastAsia="Arial" w:hAnsi="Arial"/>
          <w:sz w:val="18"/>
          <w:szCs w:val="18"/>
          <w:color w:val="auto"/>
        </w:rPr>
      </w:pPr>
    </w:p>
    <w:p>
      <w:pPr>
        <w:ind w:left="1740" w:hanging="394"/>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warrants exclude EIB Warrants referred to in Note 6.</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During the six months ended June 30, 2022, the Company granted 100,000 warrants, of which 25,000 were granted to its Chief Operating Officer (“COO”) and 45,000 were granted to its Chief Financial Officer (“CFO”). All granted warrants will vest over 36 months.</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Employees will be entitled to receive a number of warrants based on the individual employee’s grade and performance for 2022. The warrants will be granted in December 2022 at the share price equal to the fair market value thereof on the date of grant and will vest 1/36 per month over 36 months beginning January 1, 2023. For the three and six months ended June 30, 2022, a service cost of $0.3 million and $0.7 million has been recognized respectively, based on the estimated fair value of the warrants granted in prior periods and warrants expected to be granted. For the three and six months ended June 30, 2021, a service cost of $0.4 million and $0.7 million has been recognized respectively, based on the estimated fair value of the warrants granted.</w:t>
      </w:r>
    </w:p>
    <w:p>
      <w:pPr>
        <w:spacing w:after="0" w:line="17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Subsequent to the Company’s IPO, determining the initial fair value and subsequent accounting for equity awards require significant judgment regarding expected life and volatility of an equity award; however, as a public listed company there is objective evidence of the fair value of an ordinary share on the date an equity award is granted. On the other hand, due to the fact that as of 2021, warrants will be granted at the share price on the date of grant, fair value comprises a time value which is significantly affected by the expected life and expected volatility. The expected life of a warrant is based on the assumption that the holder will not exercise until after the equity award is fully vested. Actual exercise patterns may differ from the assumption used herein. The expected volatility is based on peer group data and reflects the assumption that the historical volatility over a period similar to the life of the warrant is indicative of future trends, which may not necessarily be the actual outcome. The peer group consists of listed companies that management believes are similar to the Company in respect to industry and stage of development. Even with objective evidence of the fair value of an ordinary share, small changes in any other individual assumption or in combination with other assumptions could have resulted in significantly different valuations.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assumptions have been applied for the warrants issued during the six months ended June 30, 2022:</w:t>
      </w:r>
    </w:p>
    <w:p>
      <w:pPr>
        <w:sectPr>
          <w:pgSz w:w="11900" w:h="16838" w:orient="portrait"/>
          <w:cols w:equalWidth="0" w:num="1">
            <w:col w:w="9019"/>
          </w:cols>
          <w:pgMar w:left="1440" w:top="517" w:right="1440" w:bottom="1440" w:gutter="0" w:footer="0" w:header="0"/>
        </w:sect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Expected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Expected volatility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 price</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Capital Structure and Financial Matters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Capital – Ordinary Shares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are changes in the Company’s share capital for the period ended June 30, 2022:</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6.5</w:t>
      </w:r>
    </w:p>
    <w:p>
      <w:pPr>
        <w:spacing w:after="0" w:line="23"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2.43 – 3.54 %</w:t>
      </w:r>
    </w:p>
    <w:p>
      <w:pPr>
        <w:spacing w:after="0" w:line="9" w:lineRule="exact"/>
        <w:rPr>
          <w:sz w:val="20"/>
          <w:szCs w:val="20"/>
          <w:color w:val="auto"/>
        </w:rPr>
      </w:pPr>
    </w:p>
    <w:p>
      <w:pPr>
        <w:jc w:val="both"/>
        <w:ind w:left="500"/>
        <w:spacing w:after="0"/>
        <w:tabs>
          <w:tab w:leader="none" w:pos="10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$ 1.71 – 3.03</w:t>
      </w:r>
    </w:p>
    <w:p>
      <w:pPr>
        <w:spacing w:after="0" w:line="1472" w:lineRule="exact"/>
        <w:rPr>
          <w:sz w:val="20"/>
          <w:szCs w:val="20"/>
          <w:color w:val="auto"/>
        </w:rPr>
      </w:pPr>
    </w:p>
    <w:p>
      <w:pPr>
        <w:sectPr>
          <w:pgSz w:w="11900" w:h="16838" w:orient="portrait"/>
          <w:cols w:equalWidth="0" w:num="2">
            <w:col w:w="7020" w:space="720"/>
            <w:col w:w="1279"/>
          </w:cols>
          <w:pgMar w:left="1440" w:top="517" w:right="1440" w:bottom="1440" w:gutter="0" w:footer="0" w:header="0"/>
          <w:type w:val="continuous"/>
        </w:sect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Share capital, December 31, 2021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Exercised warrants, April 20, 2022</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Capital increase at June 7, 2022</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Exercised warrants, June 7, 2022</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Exercised warrants, June 8, 2022</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Exercised warrants, June 14, 2022</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 capital, June 30, 2022</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Lincoln Park Purchase Agreement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Number of</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3810</wp:posOffset>
            </wp:positionV>
            <wp:extent cx="564896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23,203,808</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5715</wp:posOffset>
            </wp:positionV>
            <wp:extent cx="56489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428,572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5715</wp:posOffset>
            </wp:positionV>
            <wp:extent cx="56489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37,665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5715</wp:posOffset>
            </wp:positionV>
            <wp:extent cx="564896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23,833,694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31750</wp:posOffset>
            </wp:positionV>
            <wp:extent cx="7797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Share Capital</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u w:val="single" w:color="auto"/>
          <w:color w:val="auto"/>
        </w:rPr>
        <w:t>(DKK in thousands)</w:t>
      </w:r>
    </w:p>
    <w:p>
      <w:pPr>
        <w:spacing w:after="0" w:line="21"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23,204</w:t>
      </w:r>
    </w:p>
    <w:p>
      <w:pPr>
        <w:spacing w:after="0" w:line="8"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54</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429</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92</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17</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23,834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31750</wp:posOffset>
            </wp:positionV>
            <wp:extent cx="8147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648" w:lineRule="exact"/>
        <w:rPr>
          <w:sz w:val="20"/>
          <w:szCs w:val="20"/>
          <w:color w:val="auto"/>
        </w:rPr>
      </w:pPr>
    </w:p>
    <w:p>
      <w:pPr>
        <w:sectPr>
          <w:pgSz w:w="11900" w:h="16838" w:orient="portrait"/>
          <w:cols w:equalWidth="0" w:num="3">
            <w:col w:w="5580" w:space="720"/>
            <w:col w:w="1080" w:space="320"/>
            <w:col w:w="1319"/>
          </w:cols>
          <w:pgMar w:left="1440" w:top="517" w:right="1440" w:bottom="1440" w:gutter="0" w:footer="0" w:header="0"/>
          <w:type w:val="continuous"/>
        </w:sectPr>
      </w:pPr>
    </w:p>
    <w:p>
      <w:pPr>
        <w:spacing w:after="0" w:line="48"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On June 7, 2022, the Company entered into the Purchase Agreement, with Lincoln Park, pursuant to which the Company may elect to sell up to $40.0 million in the Company’s ordinary shares, DKK 1 nominal value, represented by ADSs, with each ADS representing one (1) ordinary share of the Company, subject to certain limitations and conditions set forth in the Purchase Agreement. In addition, upon execution of the Purchase Agreement, the Company paid a commitment fee in the form of 428,572 ordinary shares at a price of $2.80 per share, for a total commitment fee of $1.2 million (the “Commitment Fee”). Under the Purchase Agreement, the Company may from time to time, at its discretion, direct Lincoln Park to purchase on any single business day, or a regular purchase, up to 50,000 ordinary shares represented by ADSs which may be increased to 70,000 ordinary shares represented by ADSs under certain circumstances set forth in the Purchase Agreement over the 36 month term of the Purchase Agreement. The purchase price of the ordinary shares represented by ADSs will be based upon the prevailing market price of the ADSs at the time of the purchase without any fixed discount. In addition, the Company may direct Lincoln Park to purchase additional amounts as accelerated purchases and additional accelerated purchases under certain circumstances. The Company is not obligated to sell any ordinary shares represented by ADSs pursuant to the Purchase Agreement and will control the timing and amount of any such sales, but in no event will Lincoln Park be required to purchase more than $1.5 million in ordinary shares represented by ADSs in any single regular purchase. As of June 30, 2022, the Company had issued and sold 428,572 ordinary shares represented by ADSs to Lincoln Park. Such shares were issued to Lincoln Park as payment of the Commitment Fee in consideration for Lincoln Park’s’ commitment to purchase our ordinary shares represented by ADSs under the Purchase Agreement. As of such date, the Company had not issued and sold any additional ordinary shares represented by ADSs to Lincoln Park under the Purchase Agreement. Refer to Note 10 for further discussion of events related to the Purchase Agreement after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April 28, 2022, the Company received formal notice that on April 21, 2022, Statens Serum Institut (“SSI”), had initiated a legal proceeding against the Company in The Danish Maritime and Commercial High Court (Sø og Handelsretten), claiming sole ownership of a patent application (PCT/EP2020/050058 and subsequently national filings, EP3906045), the Company filed related to a method for treating malignant neoplasm by administering a composition comprising a high dose of neopeptides, a solvent and SSI’s liposomal adjuvant, CAF®09b, for which the Company has a non-exclusive, royalty-bearing sub-licensable license to use from SSI (the “Invention”).</w:t>
      </w:r>
    </w:p>
    <w:p>
      <w:pPr>
        <w:spacing w:after="0" w:line="17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patent application for the Invention relates solely to the use of the adjuvant CAF®09b in conjunction with a high dose of neopeptides in the Company’s EVX-01 product candidate. SSI’s claim to the patent application does not relate to any other aspect of the Company’s patent portfolio covering EVX-01 or the PIONEER platform technology. The patent application stems from work the Company performed under a collaboration agreement the Company entered into with SSI, DTU, Center for Cancer Immune Therapy (Herlev Hospital) and the Center for Genomic Medicine (Rigshospitalet). The patent application names the Company and certain of the Company’s employees as the sole invertors of the Invention.</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its filing, SSI’s primary claim is that the Invention disclosed in the patent application was not made by the Company and its employees, but rather, that SSI and members of its staff made the Invention and, therefore, SSI and certain of its staff members should be listed as the sole inventors of the Invention. In the alternative, SSI claims that it should have co-ownership with the Company of the patent application and the Invention.</w:t>
      </w:r>
    </w:p>
    <w:p>
      <w:pPr>
        <w:spacing w:after="0" w:line="187" w:lineRule="exact"/>
        <w:rPr>
          <w:sz w:val="20"/>
          <w:szCs w:val="20"/>
          <w:color w:val="auto"/>
        </w:rPr>
      </w:pPr>
    </w:p>
    <w:p>
      <w:pPr>
        <w:ind w:left="60" w:right="199"/>
        <w:spacing w:after="0" w:line="254" w:lineRule="auto"/>
        <w:rPr>
          <w:sz w:val="20"/>
          <w:szCs w:val="20"/>
          <w:color w:val="auto"/>
        </w:rPr>
      </w:pPr>
      <w:r>
        <w:rPr>
          <w:rFonts w:ascii="Arial" w:cs="Arial" w:eastAsia="Arial" w:hAnsi="Arial"/>
          <w:sz w:val="18"/>
          <w:szCs w:val="18"/>
          <w:color w:val="auto"/>
        </w:rPr>
        <w:t>While it is too early to fully assess how the court will resolve this matter, it is the Company’s position that the Company and its employees are the sole inventors of the Invention. The Company believes that it has strong defenses against SSI’s claim and that SSI’s claim is without merit. The Company intends to vigorously defend the action. In any event, even if SSI’s claim were to be upheld by the court, while no assurance can be given, the Company does not expect that it would have a material impact on its rights to use the Invention in the development and commercialization of EVX-01, as the Company believes that such rights are covered by its current license agreement with SSI and SSI would be excluded from enforcing its rights in the Invention to prevent the Company from developing and commercializing its EVX-01 product candidate.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Events After the Reporting Period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Shareholder Registration Statement</w:t>
      </w:r>
    </w:p>
    <w:p>
      <w:pPr>
        <w:spacing w:after="0" w:line="225"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On July 7, 2022, the Company filed a “selling shareholder” registration statement with the U.S. Securities and Exchange Commission (“SEC”) related to the Purchase Agreement with Lincoln Park as the selling shareholder, referenced in Note 8 above, through which the Company registered 4,649,250 ordinary shares represented by ADSs for resale to the public by Lincoln Park. Each ADS represents one ordinary share. The Company will not receive any proceeds from the resale of ADSs by Lincoln Park, however, assuming that the Company sells the full amount of its ordinary shares represented by ADSs to Lincoln Park, under the Purchase Agreement the Company may receive up to $40.0 million in aggregate proceeds.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Executive Management Agreement</w:t>
      </w:r>
    </w:p>
    <w:p>
      <w:pPr>
        <w:spacing w:after="0" w:line="225"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On August 2, 2022, the Company announced the appointment of a new Chief Executive Officer (“CEO”). The CEO is expected to join the Company within the next six months and will be granted warrants to purchase 50,000 of the Company’s ordinary shares with DKK 1 nominal value. The warrants granted to the CEO will have an exercise price equal to the fair market value of the Company’s ordinary shares represented by ADSs on the date of grant thereof, which will be the start date of the CEO’s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802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2021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Our financial information is presented in our presentation currency, United States Dollar, or USD. Our functional currency is the Danish Krone, or DKK. Some Danish Krone amounts in this discussion and analysis have been translated solely for convenience into USD at an assumed exchange rate of DKK 7.1620 per $1.00, which was the official exchange rate of such currencies as of June 30, 2022 rounded to four decimal places.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This interim report contains forward-looking statements concerning our business, operations and financial performance and condition, as well as our plans, objectives and expectations for our business operations and financial performance and condition. Many of the forward-looking statements contained in this interim report can be identified by the use of forward-looking words such as “anticipate,” “believe,” “could,” “estimate,” “expect,” “intend,” “may,” “might,” “plan,” “potential,” “should,” “target,” “would” and other similar expressions that are predictions of or indicate future events and future trends, although not all forward-looking statements contain these identifying words. These forward-looking statements include, but are not limited to, statements about:</w:t>
      </w:r>
    </w:p>
    <w:p>
      <w:pPr>
        <w:spacing w:after="0" w:line="195" w:lineRule="exact"/>
        <w:rPr>
          <w:sz w:val="20"/>
          <w:szCs w:val="20"/>
          <w:color w:val="auto"/>
        </w:rPr>
      </w:pPr>
    </w:p>
    <w:p>
      <w:pPr>
        <w:jc w:val="both"/>
        <w:ind w:left="620" w:right="79" w:hanging="327"/>
        <w:spacing w:after="0" w:line="259"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186" w:lineRule="exact"/>
        <w:rPr>
          <w:rFonts w:ascii="Arial" w:cs="Arial" w:eastAsia="Arial" w:hAnsi="Arial"/>
          <w:sz w:val="18"/>
          <w:szCs w:val="18"/>
          <w:color w:val="auto"/>
        </w:rPr>
      </w:pPr>
    </w:p>
    <w:p>
      <w:pPr>
        <w:ind w:left="620" w:right="79" w:hanging="327"/>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 and the timing of and our ability to obtain and maintain regulatory approval for our product candidates;</w:t>
      </w:r>
    </w:p>
    <w:p>
      <w:pPr>
        <w:spacing w:after="0" w:line="170" w:lineRule="exact"/>
        <w:rPr>
          <w:rFonts w:ascii="Arial" w:cs="Arial" w:eastAsia="Arial" w:hAnsi="Arial"/>
          <w:sz w:val="18"/>
          <w:szCs w:val="18"/>
          <w:color w:val="auto"/>
        </w:rPr>
      </w:pPr>
    </w:p>
    <w:p>
      <w:pPr>
        <w:ind w:left="620" w:hanging="32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identify research opportunities and discover and develop investigational medicines;</w:t>
      </w:r>
    </w:p>
    <w:p>
      <w:pPr>
        <w:spacing w:after="0" w:line="225" w:lineRule="exact"/>
        <w:rPr>
          <w:rFonts w:ascii="Arial" w:cs="Arial" w:eastAsia="Arial" w:hAnsi="Arial"/>
          <w:sz w:val="18"/>
          <w:szCs w:val="18"/>
          <w:color w:val="auto"/>
        </w:rPr>
      </w:pPr>
    </w:p>
    <w:p>
      <w:pPr>
        <w:ind w:left="620" w:right="79" w:hanging="327"/>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and willingness of our third-party collaborators to continue research and development activities relating to our development candidates and investigational medicines;</w:t>
      </w:r>
    </w:p>
    <w:p>
      <w:pPr>
        <w:spacing w:after="0" w:line="170" w:lineRule="exact"/>
        <w:rPr>
          <w:rFonts w:ascii="Arial" w:cs="Arial" w:eastAsia="Arial" w:hAnsi="Arial"/>
          <w:sz w:val="18"/>
          <w:szCs w:val="18"/>
          <w:color w:val="auto"/>
        </w:rPr>
      </w:pPr>
    </w:p>
    <w:p>
      <w:pPr>
        <w:ind w:left="620" w:right="79" w:hanging="327"/>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70" w:lineRule="exact"/>
        <w:rPr>
          <w:rFonts w:ascii="Arial" w:cs="Arial" w:eastAsia="Arial" w:hAnsi="Arial"/>
          <w:sz w:val="18"/>
          <w:szCs w:val="18"/>
          <w:color w:val="auto"/>
        </w:rPr>
      </w:pPr>
    </w:p>
    <w:p>
      <w:pPr>
        <w:ind w:left="620" w:right="79" w:hanging="327"/>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 and our needs for or ability to obtain additional financing;</w:t>
      </w:r>
    </w:p>
    <w:p>
      <w:pPr>
        <w:spacing w:after="0" w:line="170" w:lineRule="exact"/>
        <w:rPr>
          <w:rFonts w:ascii="Arial" w:cs="Arial" w:eastAsia="Arial" w:hAnsi="Arial"/>
          <w:sz w:val="18"/>
          <w:szCs w:val="18"/>
          <w:color w:val="auto"/>
        </w:rPr>
      </w:pPr>
    </w:p>
    <w:p>
      <w:pPr>
        <w:ind w:left="620" w:hanging="32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225" w:lineRule="exact"/>
        <w:rPr>
          <w:rFonts w:ascii="Arial" w:cs="Arial" w:eastAsia="Arial" w:hAnsi="Arial"/>
          <w:sz w:val="18"/>
          <w:szCs w:val="18"/>
          <w:color w:val="auto"/>
        </w:rPr>
      </w:pPr>
    </w:p>
    <w:p>
      <w:pPr>
        <w:ind w:left="620" w:right="79" w:hanging="327"/>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and our collaborators’ ability to protect and enforce our intellectual property protection for our proprietary and collaborative product candidates, and the scope of such protection;</w:t>
      </w:r>
    </w:p>
    <w:p>
      <w:pPr>
        <w:spacing w:after="0" w:line="170" w:lineRule="exact"/>
        <w:rPr>
          <w:rFonts w:ascii="Arial" w:cs="Arial" w:eastAsia="Arial" w:hAnsi="Arial"/>
          <w:sz w:val="18"/>
          <w:szCs w:val="18"/>
          <w:color w:val="auto"/>
        </w:rPr>
      </w:pPr>
    </w:p>
    <w:p>
      <w:pPr>
        <w:ind w:left="620" w:hanging="32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development of and projections relating to our competitors or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ind w:left="620" w:hanging="32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or our partners ability to commercialize our product candidates, if approved;</w:t>
      </w:r>
    </w:p>
    <w:p>
      <w:pPr>
        <w:spacing w:after="0" w:line="225" w:lineRule="exact"/>
        <w:rPr>
          <w:rFonts w:ascii="Arial" w:cs="Arial" w:eastAsia="Arial" w:hAnsi="Arial"/>
          <w:sz w:val="18"/>
          <w:szCs w:val="18"/>
          <w:color w:val="auto"/>
        </w:rPr>
      </w:pPr>
    </w:p>
    <w:p>
      <w:pPr>
        <w:ind w:left="620" w:hanging="32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and reimbursement of our investigational medicines, if approved;</w:t>
      </w:r>
    </w:p>
    <w:p>
      <w:pPr>
        <w:spacing w:after="0" w:line="225" w:lineRule="exact"/>
        <w:rPr>
          <w:rFonts w:ascii="Arial" w:cs="Arial" w:eastAsia="Arial" w:hAnsi="Arial"/>
          <w:sz w:val="18"/>
          <w:szCs w:val="18"/>
          <w:color w:val="auto"/>
        </w:rPr>
      </w:pPr>
    </w:p>
    <w:p>
      <w:pPr>
        <w:ind w:left="620" w:hanging="32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of our investigational medicines;</w:t>
      </w:r>
    </w:p>
    <w:p>
      <w:pPr>
        <w:spacing w:after="0" w:line="225" w:lineRule="exact"/>
        <w:rPr>
          <w:rFonts w:ascii="Arial" w:cs="Arial" w:eastAsia="Arial" w:hAnsi="Arial"/>
          <w:sz w:val="18"/>
          <w:szCs w:val="18"/>
          <w:color w:val="auto"/>
        </w:rPr>
      </w:pPr>
    </w:p>
    <w:p>
      <w:pPr>
        <w:ind w:left="620" w:right="79" w:hanging="327"/>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and our ability to use our net operating losses, or NOLs, and research and development credits to offset future taxable income;</w:t>
      </w:r>
    </w:p>
    <w:p>
      <w:pPr>
        <w:spacing w:after="0" w:line="170" w:lineRule="exact"/>
        <w:rPr>
          <w:rFonts w:ascii="Arial" w:cs="Arial" w:eastAsia="Arial" w:hAnsi="Arial"/>
          <w:sz w:val="18"/>
          <w:szCs w:val="18"/>
          <w:color w:val="auto"/>
        </w:rPr>
      </w:pPr>
    </w:p>
    <w:p>
      <w:pPr>
        <w:ind w:left="620" w:right="79" w:hanging="327"/>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our development and expansion and our ability to implement, maintain and improve effective internal controls;</w:t>
      </w:r>
    </w:p>
    <w:p>
      <w:pPr>
        <w:spacing w:after="0" w:line="170" w:lineRule="exact"/>
        <w:rPr>
          <w:rFonts w:ascii="Arial" w:cs="Arial" w:eastAsia="Arial" w:hAnsi="Arial"/>
          <w:sz w:val="18"/>
          <w:szCs w:val="18"/>
          <w:color w:val="auto"/>
        </w:rPr>
      </w:pPr>
    </w:p>
    <w:p>
      <w:pPr>
        <w:ind w:left="620" w:right="79" w:hanging="327"/>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effects on our business condition and results for operation from the global COVID-19 pandemic, including the pace of global economic recovery from the pandemic;</w:t>
      </w:r>
    </w:p>
    <w:p>
      <w:pPr>
        <w:spacing w:after="0" w:line="170" w:lineRule="exact"/>
        <w:rPr>
          <w:rFonts w:ascii="Arial" w:cs="Arial" w:eastAsia="Arial" w:hAnsi="Arial"/>
          <w:sz w:val="18"/>
          <w:szCs w:val="18"/>
          <w:color w:val="auto"/>
        </w:rPr>
      </w:pPr>
    </w:p>
    <w:p>
      <w:pPr>
        <w:ind w:left="620" w:right="79" w:hanging="327"/>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have our product candidates manufactured by third parties/collaborators or partners with advantages in turnaround times or manufacturing cost;</w:t>
      </w:r>
    </w:p>
    <w:p>
      <w:pPr>
        <w:spacing w:after="0" w:line="170" w:lineRule="exact"/>
        <w:rPr>
          <w:rFonts w:ascii="Arial" w:cs="Arial" w:eastAsia="Arial" w:hAnsi="Arial"/>
          <w:sz w:val="18"/>
          <w:szCs w:val="18"/>
          <w:color w:val="auto"/>
        </w:rPr>
      </w:pPr>
    </w:p>
    <w:p>
      <w:pPr>
        <w:ind w:left="620" w:right="79" w:hanging="327"/>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 a foreign private issuer;</w:t>
      </w:r>
    </w:p>
    <w:p>
      <w:pPr>
        <w:spacing w:after="0" w:line="170" w:lineRule="exact"/>
        <w:rPr>
          <w:rFonts w:ascii="Arial" w:cs="Arial" w:eastAsia="Arial" w:hAnsi="Arial"/>
          <w:sz w:val="18"/>
          <w:szCs w:val="18"/>
          <w:color w:val="auto"/>
        </w:rPr>
      </w:pPr>
    </w:p>
    <w:p>
      <w:pPr>
        <w:jc w:val="both"/>
        <w:ind w:left="620" w:right="79" w:hanging="327"/>
        <w:spacing w:after="0" w:line="286"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adverse effects on our business condition and results for operation from general economic and market conditions and overall fluctuations in the United States and international equity markets, including deteriorating market conditions due to investor concerns regarding inflation and hostilities between Russia and Ukraine; and</w:t>
      </w:r>
    </w:p>
    <w:p>
      <w:pPr>
        <w:spacing w:after="0" w:line="165" w:lineRule="exact"/>
        <w:rPr>
          <w:rFonts w:ascii="Arial" w:cs="Arial" w:eastAsia="Arial" w:hAnsi="Arial"/>
          <w:sz w:val="17"/>
          <w:szCs w:val="17"/>
          <w:color w:val="auto"/>
        </w:rPr>
      </w:pPr>
    </w:p>
    <w:p>
      <w:pPr>
        <w:ind w:left="620" w:hanging="32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 factors.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2021 — “Item 3. Key Information—D. Risk Factors”. You are urged to consider these factors carefully in evaluating the forward-looking statements. These forward-looking statements speak only as of the date of this report. Except as required by law, we are under no obligation, and expressly disclaim any obligation, to update, alter or otherwise revise any forward-looking statements, whether written or oral, that may be made from time to time, whether as a result of new information, future events or otherwise. Given these risks and uncertainties, you are cautioned not to rely on such forward-looking statements as predictions of future events.</w:t>
      </w:r>
    </w:p>
    <w:p>
      <w:pPr>
        <w:spacing w:after="0" w:line="18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U.S. Securities and Exchange Commission, or the SEC, after the date of this report. We qualify all of our forward-looking statements by these cautionary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a biotech company, we face a number of risks and uncertainties. These are common for the biopharmaceutical industry and relate to operations, research and development, commercial and financial activities. For further information about risks and uncertainties the Company faces, we refer to our Annual Report on Form 20-F for the year ended December 31, 2021, filed with the SEC on March 31, 2022. At the date of this interim report, there have been no significant changes to our overall risk profile since the publication of the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326390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are a clinical-stage biotech company developing AI-powered immunotherapies. With our proprietary and scalable AI technology, we decode the human immune system to discover and develop novel immunotherapies for cancer, bacterial diseases, and viral infections. Drug discovery and clinical development using historically prevailing techniques is a long, costly process with a high attrition rate. We believe our proprietary AI platforms, trained to translate vast amounts of data into a deep understanding of biological processes in the human body, can be harnessed to rapidly and cost effectively design and develop unique immunotherapies, thereby potentially revolutionizing the process of drug discovery and development. We have identified and are advancing a robust immunotherapy pipeline. We are currently in the clinic with our two lead product candidates for the personalized treatment of various cancers.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January 2022, we received regulatory clearance from the Australia Therapeutic Goods Administration, or the TGA, to initiate the Phase 2b clinical trial of EVX-01 in combination with KEYTRUDA® for the treatment of metastatic melanoma. We expect to initiate our Phase 2b clinical trial in the second half of 2022.</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 March 2022, we reported completion of recruitment of Part 1 of the EVX-02 Phase 1/2a clinical trial in patients with resectable melanoma. The ongoing clinical trial is expected to be finalized according to plan with a full clinical readout in the first half of 2023.</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April 2022, Statens Serum Institut (“SSI”) initiated a legal proceeding against us in The Danish Maritime and Commercial High Court (Sø og Handelsretten), claiming sole ownership of a patent application we filed related to a method for treating malignant neoplasm by administering a composition comprising a high dose of neopeptides, a solvent and SSI’s liposomal adjuvant, CAF®09b, for which we have a non-exclusive, royalty-bearing sub-licensable license to use from SSI (the “Invention”). While it is too early to fully assess how the court will resolve this matter, it is our position that we and our employees are the sole inventors of the Invention. We believe that we have strong defenses against SSI’s claim and that SSI’s claim is without merit. We intend to vigorously defend the action. As of the date of this filing, we cannot reasonably estimate any range of potential future charges, and therefore we have not recorded any accrual for a contingent liability associated with these legal proceedings. Refer to Note 9 in the condensed consolidated interim financial statements for further detail.</w:t>
      </w:r>
    </w:p>
    <w:p>
      <w:pPr>
        <w:spacing w:after="0" w:line="19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May 2022, we announced the successful production of all batches of personalized cancer immunotherapies for all patients enrolled in our Phase 1/2a clinical trial of our EVX-02 product candidate, demonstrating the ability to provide truly unique, personalized DNA vaccines within a critical time window. The ongoing clinical trial is expected to be finalized according to plan with a full clinical readout in the first half of 2023.</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June 2022, we announced our intention to expand our third cancer immunotherapy program, EVX-03, into non-small cell lung cancer due to encouraging data in the pre-clinical study. We intend to submit a regulatory filing for a Phase 1/2a clinical trial in the second half of 2022. The initiation of the study is contingent upon securing new capital to fund the costs of the clinical trial.</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June 2022, we further announced gonorrhea as the second bacterial target for treatment with our EVX-B2 product candidate.</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June 7, 2022, we entered into a purchase agreement, or the Purchase Agreement, with Lincoln Park Capital Fund, LLC, or Lincoln Park, pursuant to which we have the right, but not the obligation, to sell to Lincoln Park up to $40,000,000 of our ordinary shares, DKK 1 nominal value, represented by American Depositary Shares, or the ADSs, subject to certain limitations, from time to time over the 36-month period commencing on the date that a registration statement covering the resale of the ADSs is declared effective by the SEC. In connection with the execution and delivery of the Purchase Agreement, we issued 428,572 ordinary shares represented by ADSs to Lincoln Park as consideration for a commitment fee of $1.2 million for Lincoln Park’s commitment to purchase ordinary shares represented by ADSs under the Purchase Agreement, or the Commitment Shares. In the Purchase Agreement, Lincoln Park represented to the Company, among other things, that it was an “accredited investor” (as such term is defined in Rule 501(a) of Regulation D under the Securities Act of 1933, or the Securities Act). The securities were sold by the Company under the Purchase Agreement in reliance upon an exemption from the registration requirements under the Securities Act afforded by Section 4(a)(2)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jc w:val="both"/>
        <w:ind w:left="60" w:right="59"/>
        <w:spacing w:after="0" w:line="254" w:lineRule="auto"/>
        <w:rPr>
          <w:sz w:val="20"/>
          <w:szCs w:val="20"/>
          <w:color w:val="auto"/>
        </w:rPr>
      </w:pPr>
      <w:r>
        <w:rPr>
          <w:rFonts w:ascii="Arial" w:cs="Arial" w:eastAsia="Arial" w:hAnsi="Arial"/>
          <w:sz w:val="18"/>
          <w:szCs w:val="18"/>
          <w:color w:val="auto"/>
        </w:rPr>
        <w:t>On July 7, 2022, we filed a “selling shareholder” registration statement covering the resale by Lincoln Park to the public as the selling shareholder of up to 4,649,250 ADSs with each ADS representing one ordinary share, comprised of: (i) the 428,572 Commitment Shares, and (ii) up to an additional 4,220,678 ordinary shares represented by ADSs that we have reserved for sale to Lincoln Park under the Purchase Agreement from time to time, if and when we determine to sell additional ordinary shares represented by ADSs to Lincoln Park under the Purchase Agreement. Lincoln Park is deemed to be an “underwriter” within the meaning of Section 2(a)(11) of the Securities Act of 1933, as amended, or the Securities Act.</w:t>
      </w:r>
    </w:p>
    <w:p>
      <w:pPr>
        <w:spacing w:after="0" w:line="19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July 30, 2022, we entered into a Service Agreement (the “Service Agreement”) with a new Chief Executive Officer (“CEO”). Under the terms of the Service Agreement, the new CEO will receive an annual base salary of DKK 2,400,000 (approximately USD $328,465 based on the current exchange rate of USD $1.00 = DKK 7.30670 on July 29, 2022), plus warrants to purchase 50,000 of our ordinary shares with an exercise price equal to the fair market value of our ADSs representing ordinary shares on the date of grant thereof, which will be the start date of the new CEO’s employment. The new CEO’s start date will be within six months from the date of this report. Such warrants will be subject to our standard terms and conditions and will vest in equal monthly installments of 1/36th per month over three years from the date of grant. In addition, at the full discretion of our Board of Directors, the new CEO may receive an annual bonus of between 10-30% of his annual base salary. We can terminate the Service Agreement and the new CEO’s employment at any time upon twelve months’ prior notice. The new CEO may terminate his employment with us upon six months’ prior notice. In addition, if within any period of twelve consecutive months the new CEO is absent due to illness for a total of 120 days or should the new CEO be deemed to be permanently disabled, we may terminate his employment upon three months’ prior notice.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AI Platforms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Our four proprietary AI platforms include (i) PIONEER™, our immuno-oncology platform, (ii) EDEN™, our bacterial disease platform, (iii) RAVEN™, our viral disease platform, and (iv) AI-DeeP™, our immuno-oncology platform for prediction of drug response. Currently, we are focused on using PIONEER for the development of personalized immunotherapies for various cancers and using EDEN to develop vaccines against bacterial diseases. We plan to use our RAVEN platform to discover and develop vaccines against viral infections. We intend to use AI-DeeP to determine which patients may benefit from cancer immunotherapies. We may, in the future, develop additional platforms to address other conditions known to have a large immunological component, examples of which could include autoimmune diseases, microbiome dysbiosis, allergies and parasites.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from COVID-19 Pandemic</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December 2019, a novel strain of coronavirus was reported in Wuhan, China and on March 11, 2020 the World Health Organization, or the WHO, declared COVID-19 a pandemic.</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full extent to which the COVID-19 outbreak will impact our business, results of operations, financial condition and cash flows will depend on future developments that are highly uncertain. These uncertainties include, among others, the ultimate severity and duration of the pandemic; the emergence and prevalence of COVID-19 variants, such as the recent emergence of certain variants such as the Omicron BA.4 and BA.5 variants; governmental, business or other actions that have been, are being or will be, taken in response to the pandemic, including restrictions on travel and mobility, business closures and operating restrictions, and imposition of social distancing measures; impacts of the pandemic on our employees, the vendors or distribution channels in our supply chain and on the our ability to continue to manufacture its products; impacts of the pandemic on the conduct of our clinical trials, including with respect to enrollment rates, availability of investigators and clinical trial sites, and monitoring of data; impacts of the pandemic on healthcare systems, impacts of the pandemic on the regulatory agencies with which we interact in the development, review, approval and commercialization of products derived from our product candidates, if any; impacts of the pandemic on reimbursement for products derived from our product candidates, if any, and for services related to the use of products derived from our product candidates, if any; and impacts of the pandemic on the Danish, U.S. and global economies more broadly.</w:t>
      </w:r>
    </w:p>
    <w:p>
      <w:pPr>
        <w:spacing w:after="0" w:line="174"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In addition, we rely upon third parties for many aspects of our business, including the provision of goods and services related to the manufacture of our clinical products and the conduct of our clinical trials. Any prolonged material disruption to the third parties on which we rely could negatively impact our ability to conduct business in the manner and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309245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jc w:val="both"/>
        <w:ind w:left="60" w:right="59"/>
        <w:spacing w:after="0" w:line="277" w:lineRule="auto"/>
        <w:rPr>
          <w:sz w:val="20"/>
          <w:szCs w:val="20"/>
          <w:color w:val="auto"/>
        </w:rPr>
      </w:pPr>
      <w:r>
        <w:rPr>
          <w:rFonts w:ascii="Arial" w:cs="Arial" w:eastAsia="Arial" w:hAnsi="Arial"/>
          <w:sz w:val="18"/>
          <w:szCs w:val="18"/>
          <w:color w:val="auto"/>
        </w:rPr>
        <w:t>timelines presently planned, which could have a material adverse impact on our business, results of operations and financial condition.</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COVID-19 or other public health emergencies, epidemics, pandemics or outbreaks, and the resulting business or economic disruptions resulting therefrom, may adversely impact our business as well as our ability to raise capital. While we continue to conduct research and development, or R&amp;D, activities, including our ongoing clinical trials, the COVID-19 pandemic has, at times, impacted the timelines of certain of our early-stage discovery efforts and clinical trials, and may continue to impact such timelines while the pandemic persists. We work closely with our internal teams, our clinical investigators, R&amp;D vendors and critical supply chain vendors to continually assess, and mitigate, any potential adverse impacts of COVID-19 on our R&amp;D activities. We are closely monitoring the potential impact of COVID-19 on our business and operations, financial results and cash flows. Our top priority remains the health and safety of our staff and the patients in our studies.</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additional description of COVID-19 related risks, please refer to “Item 3.D. Risk Factors”, set forth in our 2021 Annual Report on Form 20-F.</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Russia’s Invasion of Ukraine</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February 24, 2022, Russia invaded Ukraine creating a global conflict. The resulting conflict and retaliatory measures by the global community have created global security concerns, including the possibility of expanded regional or global conflict, which have had, and are likely to continue to have, short-term and more likely longer-term adverse impacts on Ukraine and Europe and around the globe. Potential ramifications include disruption of the supply chain including research activities and complications with the conduct of ongoing and future clinical trials of our product candidates, including patient enrollment. We rely on global networks of contract research organizations and clinical trial sites to enroll patients. Delays in research activities or in the conduct of our clinical trials could increase associated costs and, depending upon the duration of any delays, require us to find alternative suppliers at additional expense. In addition, the conflict between Russia and the Ukraine has had significant ramifications on global financial markets, which may adversely impact our ability to raise capital on favorable terms or at all.</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statements of profit or loss for the periods indicated (unaudited):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272"/>
              <w:spacing w:after="0"/>
              <w:rPr>
                <w:sz w:val="20"/>
                <w:szCs w:val="20"/>
                <w:color w:val="auto"/>
              </w:rPr>
            </w:pPr>
            <w:r>
              <w:rPr>
                <w:rFonts w:ascii="Arial" w:cs="Arial" w:eastAsia="Arial" w:hAnsi="Arial"/>
                <w:sz w:val="14"/>
                <w:szCs w:val="14"/>
                <w:b w:val="1"/>
                <w:bCs w:val="1"/>
                <w:color w:val="auto"/>
              </w:rPr>
              <w:t>Three Months Ended June 30,</w:t>
            </w: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128"/>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5"/>
          </w:tcPr>
          <w:p>
            <w:pPr>
              <w:ind w:left="540"/>
              <w:spacing w:after="0" w:line="129" w:lineRule="exact"/>
              <w:rPr>
                <w:sz w:val="20"/>
                <w:szCs w:val="20"/>
                <w:color w:val="auto"/>
              </w:rPr>
            </w:pPr>
            <w:r>
              <w:rPr>
                <w:rFonts w:ascii="Arial" w:cs="Arial" w:eastAsia="Arial" w:hAnsi="Arial"/>
                <w:sz w:val="14"/>
                <w:szCs w:val="14"/>
                <w:b w:val="1"/>
                <w:bCs w:val="1"/>
                <w:color w:val="auto"/>
                <w:w w:val="86"/>
              </w:rPr>
              <w:t>(USD in thousands)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10"/>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(6,259)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767</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Finance income</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2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09"/>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before tax</w:t>
            </w:r>
          </w:p>
        </w:tc>
        <w:tc>
          <w:tcPr>
            <w:tcW w:w="2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(4,945)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(7,488)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2,543</w:t>
            </w: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Net loss for the period</w:t>
            </w:r>
          </w:p>
        </w:tc>
        <w:tc>
          <w:tcPr>
            <w:tcW w:w="2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(4,768)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(6,819)</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2,051</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757"/>
        </w:trPr>
        <w:tc>
          <w:tcPr>
            <w:tcW w:w="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60" w:right="239"/>
        <w:spacing w:after="0" w:line="286" w:lineRule="auto"/>
        <w:rPr>
          <w:sz w:val="20"/>
          <w:szCs w:val="20"/>
          <w:color w:val="auto"/>
        </w:rPr>
      </w:pPr>
      <w:r>
        <w:rPr>
          <w:rFonts w:ascii="Arial" w:cs="Arial" w:eastAsia="Arial" w:hAnsi="Arial"/>
          <w:sz w:val="17"/>
          <w:szCs w:val="17"/>
          <w:color w:val="auto"/>
        </w:rPr>
        <w:t>Research and development expenses were $4.1 million for the three months ended June 30, 2022 as compared to $5.1 million for the three months ended June 30, 2021. The decrease in research and development expenses was primarily due to a decrease of $1.1 million in external costs related to the clinical trials.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General and administrative expenses were $2.1 million for the three months ended June 30, 2022 as compared to $1.9 million for the three months ended June 30, 2021. The increase in general and administrative expenses was primarily due to a $0.2 million increase in fees associated with the expansion of our business as a listed company.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Finance Income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Finance income was related to foreign exchange gains of $1.1 million, primarily due to the strengthening of USD compared to DKK, and a gain from the change in warrant liability of $0.4 million for the three months ended June 30, 2022. Finance income was primarily related to foreign exchange gains on the receipts of the proceeds from our initial public offering, or IPO, completed in February 2021, which were in USD while the functional currency is DKK, recognized during the three months ended June 30,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Finance Expenses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Finance expenses primarily related to interest expense on the EIB Loan Agreement (as defined herein) and our loan from our lessor and were $0.2 million for the three months ended June 30, 2022. Finance expenses primarily related to foreign exchange losses recognized were $0.5 million for the three months ended June 30,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benefits from income tax were $0.2 for the three months ended June 30, 2022, compared to $0.7 million for the three months ended June 30, 2021. Our effective tax rates for the three months ended June 30, 2022 and 2021 were different from the Danish Corporate tax rate of 22% since we only recognize deferred tax assets on temporary differences to the extent the requirements for capitalization are met. Taxable income is mainly related to expected tax receivable from R&amp;D Tax Schemes in Denmark and Australia based on tax losses incurred in the current financial year.</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statements of profit or loss for the periods indicated (unaudited):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center"/>
              <w:ind w:right="32"/>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128"/>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5"/>
          </w:tcPr>
          <w:p>
            <w:pPr>
              <w:jc w:val="center"/>
              <w:ind w:left="495"/>
              <w:spacing w:after="0" w:line="129" w:lineRule="exact"/>
              <w:rPr>
                <w:sz w:val="20"/>
                <w:szCs w:val="20"/>
                <w:color w:val="auto"/>
              </w:rPr>
            </w:pPr>
            <w:r>
              <w:rPr>
                <w:rFonts w:ascii="Arial" w:cs="Arial" w:eastAsia="Arial" w:hAnsi="Arial"/>
                <w:sz w:val="14"/>
                <w:szCs w:val="14"/>
                <w:b w:val="1"/>
                <w:bCs w:val="1"/>
                <w:color w:val="auto"/>
                <w:w w:val="89"/>
              </w:rPr>
              <w:t>(USD in thousands)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(12,658)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(12,201)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Finance income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1,053</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2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before tax</w:t>
            </w:r>
          </w:p>
        </w:tc>
        <w:tc>
          <w:tcPr>
            <w:tcW w:w="2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(10,983)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(11,988)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Net loss for the period</w:t>
            </w:r>
          </w:p>
        </w:tc>
        <w:tc>
          <w:tcPr>
            <w:tcW w:w="2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(10,559)</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(10,912)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757"/>
        </w:trPr>
        <w:tc>
          <w:tcPr>
            <w:tcW w:w="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Research and development expenses were $8.9 million for the six months ended June 30, 2022 as compared to $9.0 million for the six months ended June 30, 2021. The decrease in research and development expenses was primarily due to a decrease of $1.0 million in external costs related to the clinical trials. The decrease is partially offset by increased employee-related costs of $0.8 million due to higher headcount.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General and administrative expenses were $3.7 million for the six months ended June 30, 2022 as compared to $3.2 million for the six months ended June 30, 2021. The increase in general and administrative expenses was primarily due to a $0.5 million increase in fees related to the expansion of our business as a listed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Finance Income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Finance income was related to foreign exchange gains of $1.7 million, primarily due to the strengthening of USD compared to DKK, and a gain from the change in warrant liability of $0.4 million for the six months ended June 30, 2022. Finance income was primarily related to foreign exchange gains on the receipts of the proceeds from our initial public offering, or IPO, completed in February 2021, which were in USD while the functional currency is DKK, recognized during the six months ended June 30,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Finance Expenses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Finance expenses primarily related to interest expense on the EIB Loan Agreement and our loan from our lessor and were $0.4 million for the six months ended June 30, 2022. Finance expenses primarily related to foreign exchange losses recognized were $0.8 million for the six months ended June 30,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benefits from income tax were $0.4 for the six months ended June 30, 2022, compared to $1.1 million for the six months ended June 30, 2021. Our effective tax rates for the six months ended June 30, 2022 and 2021 were different from the Danish Corporate tax rate of 22% since we only recognize deferred tax assets on temporary differences to the extent the requirements for capitalization are met. Taxable income is mainly related to expected tax receivable from R&amp;D Tax Schemes in Denmark and Australia based on tax losses incurred in the current financial year.</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We are a clinical-stage biotech company that has not generated revenues during the reporting periods. We are exposed to a variety of financial risks including liquidity risks. We have incurred significant losses and negative cash flows from operations since our inception. As of June 30, 2022, we had an accumulated deficit of $60.3 million and expect to continue to incur significant losses for the foreseeable future.</w:t>
      </w:r>
    </w:p>
    <w:p>
      <w:pPr>
        <w:spacing w:after="0" w:line="18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As of June 30, 2022 and December 31, 2021, our available liquidity, comprised of cash and cash equivalents, was $25.3 million and $32.2 million, respectively and our total equity was $20.2 million and $32.4 million, respectively. The decrease in cash and equity was primarily a result of operating expenses, offset by the proceeds received from the drawdown of our loan from the European Investment Bank, or EIB, discussed below. We have not generated any revenues during the six months ended June 30, 2022 and we do not anticipate generating revenues unless and until we successfully complete Phase 2b development and obtain an out-licensing partnership of any current or future product candidates.</w:t>
      </w:r>
    </w:p>
    <w:p>
      <w:pPr>
        <w:spacing w:after="0" w:line="16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August 2020, we executed a loan agreement, or the EIB Loan Agreement, with EIB, for a principal amount of €20.0 million, divided into three tranches of €7.0 million, €6.0 million and €7.0 million or the EIB Loan. Under the EIB Loan Agreement, the EIB Loan tranche balances are due six years from their respective disbursement dates. For all tranches, EIB is entitled to an aggregate of 1,003,032 cash settled warrants with an exercise price of 1 DKK per warrant, or the EIB Warrants. The 351,036 EIB Warrants, attributable to the first tranche of €7.0 million were incorporated in our articles of association on December 17, 2020. We received the first tranche of €7.0 million (approximately $7.8 million)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319405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jc w:val="both"/>
        <w:ind w:left="60" w:right="59"/>
        <w:spacing w:after="0" w:line="277" w:lineRule="auto"/>
        <w:rPr>
          <w:sz w:val="20"/>
          <w:szCs w:val="20"/>
          <w:color w:val="auto"/>
        </w:rPr>
      </w:pPr>
      <w:r>
        <w:rPr>
          <w:rFonts w:ascii="Arial" w:cs="Arial" w:eastAsia="Arial" w:hAnsi="Arial"/>
          <w:sz w:val="18"/>
          <w:szCs w:val="18"/>
          <w:color w:val="auto"/>
        </w:rPr>
        <w:t>February 17, 2022. In connection therewith, EIB received the 351,036 EIB Warrants, which vested immediately, pursuant to the terms of a separate warrant agreement, or the EIB Warrant Agreement.</w:t>
      </w:r>
    </w:p>
    <w:p>
      <w:pPr>
        <w:spacing w:after="0" w:line="17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Under the terms of the EIB Warrant Agreement, each EIB Warrant entitles EIB to subscribe for one ordinary share, DKK 1 nominal value, at an exercise price of DKK 1 per ordinary share. In addition, EIB has the right to cause us to net settle the exercise of the EIB Warrants in cash based on the value of our ordinary shares on the date of exercise thereof. Finally, upon the occurrence of certain events, including the completion of our initial public offering, or IPO, in February 2021, the prepayment of the EIB Loan, the sale of all or substantially all of our issued share capital or assets, a change in control transaction, or Messrs. Andreas Mattson and Niels Iversen Moller cease to own and control directly or indirectly 25% or more of the voting rights or economic interest of our company, EIB has the right, but not the obligation, to cause us to purchase any EIB Warrant, or the Put Right. If EIB exercises its Put Right, we are required to pay EIB an amount equal to the volume weighted average price per ordinary share, or VWAP, for a period of six months following the exercise of such Put Right. Our financial liability under the EIB Warrant Agreement is $0.6 million as of June 30, 2022.</w:t>
      </w:r>
    </w:p>
    <w:p>
      <w:pPr>
        <w:spacing w:after="0" w:line="16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September 2020, we received $6.6 million of additional funding from the issuance of 745,380 of our ordinary shares as part 1 of our “bridging round” with outside investors. On October 15, 2020, we successfully completed part 2 of our “bridging round” of capital with outside investors in the amount of $2.4 million from the issuance of 269,136 of our ordinary shares and received the proceeds in November 2020.</w:t>
      </w:r>
    </w:p>
    <w:p>
      <w:pPr>
        <w:spacing w:after="0" w:line="1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October 2020, we entered into a lease for approximately 1,356 square meters, which is allocated on 839 square meters of office space, and 518 square meters of laboratory space in Hørsholm, Denmark. The commencement date for the lease of the 839 square meters of office space was February 1, 2021 and the lease continues for a term of 10 years from that date. In October 2020, we entered into a lease for approximately 518 square meters, which was allocated for additional laboratory space, in Hørsholm, Denmark. The commencement date for the lease was August 13, 2021 and the lease continues for a term of 10 years with a subsequent 12-month cancellation notice period. The lease agreement contains an early termination provision which would trigger a termination fee of $2.7 million. As of June 30, 2022, the monthly payment is approximately $25,500, which consists of $10,600 for the office space and approximately $14,900 for the laboratory space. Throughout the term, the lease is subject to annual increases ranging from two to four percent on the annual lease payment amount.</w:t>
      </w:r>
    </w:p>
    <w:p>
      <w:pPr>
        <w:spacing w:after="0" w:line="18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to the ordinary lease payments, we obtained financing from DTU Science Park A/S (“DTU”) for rebuilding the laboratory facility and engineering building to match our needs. We will repay the $1.3 million financing at a fixed interest rate of 6% over eight years. If the lease is terminated due to default by us before the outstanding balance, including interest accrued, has been repaid, the remaining balance is due immediately. As of June 30, 2022, we are still in discussions with DTU on the final settlement terms.</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February 5, 2021, we completed our IPO through which we issued and sold 3,000,000 American Depositary Shares or ADSs, each of which represents one ordinary share, at a price to the public of $10.00 per ADS. We received aggregate net proceeds of $25.3 million from the IPO, after deducting the underwriting discounts and commissions and offering expenses. Upon the completion of the IPO, our registered, issued, and outstanding share capital was nominal DKK 19,198,668.</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November 9, 2021, we completed a follow-on public offering, or FPO, through which we issued and sold 3,942,856 ADSs, each of which represents one ordinary share, at a price to the public of $7.00 per ADS. The shares issued were inclusive of the 514,285 ADSs issued to the underwriters pursuant to the full exercise of their option to purchase additional shares on November 5, 2021. We received aggregate net proceeds of $24.9 million from our FPO, which includes the funds received for the additional shares issued to the underwriters, after deducting the underwriting discounts and commissions and offering expenses. Upon the completion of our FPO, our registered, issued, and outstanding share capital was nominal DKK 23,141,524.</w:t>
      </w:r>
    </w:p>
    <w:p>
      <w:pPr>
        <w:spacing w:after="0" w:line="19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June 7, 2022, we entered into the Purchase Agreement with Lincoln Park, pursuant to which we have the right, but not the obligation, to sell to Lincoln Park up to $40.0 million in our ordinary shares represented by ADSs, with each ADS representing one ordinary share. On any business day over the 36-month term of the Purchase Agreement on which the closing price of our ADSs is not less than a threshold price set forth in the agreement, we have the right to sell 50,000 ordinary shares represented by ADSs to Lincoln Park, which may be increased to 70,000 ordinary shares represented by ADS under certain circumstances. The purchase price of the ordinary shares represented by ADSs will be based on the prevailing market price of the ADSs at the time of sale. Upon execution and delivery of the Purchase Agreement, we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320675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jc w:val="both"/>
        <w:ind w:left="60" w:right="59"/>
        <w:spacing w:after="0" w:line="255" w:lineRule="auto"/>
        <w:rPr>
          <w:sz w:val="20"/>
          <w:szCs w:val="20"/>
          <w:color w:val="auto"/>
        </w:rPr>
      </w:pPr>
      <w:r>
        <w:rPr>
          <w:rFonts w:ascii="Arial" w:cs="Arial" w:eastAsia="Arial" w:hAnsi="Arial"/>
          <w:sz w:val="18"/>
          <w:szCs w:val="18"/>
          <w:color w:val="auto"/>
        </w:rPr>
        <w:t>Lincoln Park a commitment fee of $1.2 million, which was paid by the issuance of 428,572 ordinary shares represented by ADSs, or the Commitment Shares. On July 7, 2022, we filed a “selling shareholder” registration statement covering the resale by Lincoln Park of up to 4,649,250 ordinary shares represented by ADSs (including the Commitment Shares). We will not receive any proceeds from the resale of ADSs by Lincoln Park to the public, however, we may receive up to $40.0 million in aggregate proceeds assuming that we sell the full amount of our ordinary shares represented by ADSs to Lincoln Park under the Purchase Agreement.</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June 30, 2022, due to warrant exercises and the issuance of the Commitment Shares under the Purchase Agreement discussed above, our outstanding share capital was nominal DKK 23,833,694.</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Requirements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anticipate incurring additional losses until such time, if ever, we can complete our research and development activities and obtain out-licensing partnerships for our product candidates and generate revenues from such product candidates. Substantial additional financing will be needed by us to fund our operations and to continue development of our product candidates.</w:t>
      </w:r>
    </w:p>
    <w:p>
      <w:pPr>
        <w:spacing w:after="0" w:line="18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expect our existing cash and cash equivalents, including use of financing facilities, will be sufficient to fund our operating expenses and capital expenditure requirements through at least 12 months from the date of this report. However, the forecast of the period for which our financial resources will be adequate to support operations is a forward-looking statement that involves risks and uncertainties, and actual results could vary materially. We have based this estimate on assumptions that may prove to be wrong, and we could use capital resources sooner than expected. Additionally, the process of testing product candidates in clinical trials is costly, and the timing of progress and expenses is uncertain. In any event, we will require additional capital to achieve our goals. Even if we believe we have sufficient funds for our current or future operating plans, we may seek additional capital if market conditions are favorable or if we have specific strategic considerations. Our spending will vary based on new and ongoing development and corporate activities. Due to high uncertainty of the length of time and activities associated with discovery and development of our product candidates, we are unable to estimate the actual amount of funds we will require for our developmental activities.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financing requirements will depend on many factors, including, but not limited to:</w:t>
      </w:r>
    </w:p>
    <w:p>
      <w:pPr>
        <w:spacing w:after="0" w:line="225" w:lineRule="exact"/>
        <w:rPr>
          <w:sz w:val="20"/>
          <w:szCs w:val="20"/>
          <w:color w:val="auto"/>
        </w:rPr>
      </w:pPr>
    </w:p>
    <w:p>
      <w:pPr>
        <w:ind w:left="620" w:hanging="32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AI platforms;</w:t>
      </w:r>
    </w:p>
    <w:p>
      <w:pPr>
        <w:spacing w:after="0" w:line="225" w:lineRule="exact"/>
        <w:rPr>
          <w:rFonts w:ascii="Arial" w:cs="Arial" w:eastAsia="Arial" w:hAnsi="Arial"/>
          <w:sz w:val="18"/>
          <w:szCs w:val="18"/>
          <w:color w:val="auto"/>
        </w:rPr>
      </w:pPr>
    </w:p>
    <w:p>
      <w:pPr>
        <w:jc w:val="both"/>
        <w:ind w:left="620" w:right="79" w:hanging="327"/>
        <w:spacing w:after="0" w:line="263"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and the costs involved in providing support to our future partners, if any, in connection with their efforts in seeking regulatory approvals in the United States and elsewhere for any future products derived from our product candidates if clinical trials are successful;</w:t>
      </w:r>
    </w:p>
    <w:p>
      <w:pPr>
        <w:spacing w:after="0" w:line="183" w:lineRule="exact"/>
        <w:rPr>
          <w:rFonts w:ascii="Arial" w:cs="Arial" w:eastAsia="Arial" w:hAnsi="Arial"/>
          <w:sz w:val="18"/>
          <w:szCs w:val="18"/>
          <w:color w:val="auto"/>
        </w:rPr>
      </w:pPr>
    </w:p>
    <w:p>
      <w:pPr>
        <w:jc w:val="both"/>
        <w:ind w:left="620" w:right="79" w:hanging="327"/>
        <w:spacing w:after="0" w:line="263"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providing support to our future partners, if any, in connection with their commercialization activities for products derived from our product candidates, if approved for sale, including marketing, sales and distribution costs;</w:t>
      </w:r>
    </w:p>
    <w:p>
      <w:pPr>
        <w:spacing w:after="0" w:line="183" w:lineRule="exact"/>
        <w:rPr>
          <w:rFonts w:ascii="Arial" w:cs="Arial" w:eastAsia="Arial" w:hAnsi="Arial"/>
          <w:sz w:val="18"/>
          <w:szCs w:val="18"/>
          <w:color w:val="auto"/>
        </w:rPr>
      </w:pPr>
    </w:p>
    <w:p>
      <w:pPr>
        <w:ind w:left="620" w:right="79" w:hanging="327"/>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manufacturing any future product candidates for clinical trials and scaling up manufacturing in preparation for late stage clinical trials;</w:t>
      </w:r>
    </w:p>
    <w:p>
      <w:pPr>
        <w:spacing w:after="0" w:line="170" w:lineRule="exact"/>
        <w:rPr>
          <w:rFonts w:ascii="Arial" w:cs="Arial" w:eastAsia="Arial" w:hAnsi="Arial"/>
          <w:sz w:val="18"/>
          <w:szCs w:val="18"/>
          <w:color w:val="auto"/>
        </w:rPr>
      </w:pPr>
    </w:p>
    <w:p>
      <w:pPr>
        <w:ind w:left="620" w:hanging="32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characteristics of additional product candidates that we pursue;</w:t>
      </w:r>
    </w:p>
    <w:p>
      <w:pPr>
        <w:spacing w:after="0" w:line="225" w:lineRule="exact"/>
        <w:rPr>
          <w:rFonts w:ascii="Arial" w:cs="Arial" w:eastAsia="Arial" w:hAnsi="Arial"/>
          <w:sz w:val="18"/>
          <w:szCs w:val="18"/>
          <w:color w:val="auto"/>
        </w:rPr>
      </w:pPr>
    </w:p>
    <w:p>
      <w:pPr>
        <w:jc w:val="both"/>
        <w:ind w:left="620" w:right="79" w:hanging="327"/>
        <w:spacing w:after="0" w:line="263"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partnerships, licensing or other arrangements with third parties, including the timing of receipt of any potential milestone payments, licensing fees or royalty payments under these agreements;</w:t>
      </w:r>
    </w:p>
    <w:p>
      <w:pPr>
        <w:spacing w:after="0" w:line="183" w:lineRule="exact"/>
        <w:rPr>
          <w:rFonts w:ascii="Arial" w:cs="Arial" w:eastAsia="Arial" w:hAnsi="Arial"/>
          <w:sz w:val="18"/>
          <w:szCs w:val="18"/>
          <w:color w:val="auto"/>
        </w:rPr>
      </w:pPr>
    </w:p>
    <w:p>
      <w:pPr>
        <w:ind w:left="620" w:right="79" w:hanging="327"/>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 on the initiation or completion of pre-clinical studies or clinical trials and the supply of our product candidates;</w:t>
      </w:r>
    </w:p>
    <w:p>
      <w:pPr>
        <w:spacing w:after="0" w:line="170" w:lineRule="exact"/>
        <w:rPr>
          <w:rFonts w:ascii="Arial" w:cs="Arial" w:eastAsia="Arial" w:hAnsi="Arial"/>
          <w:sz w:val="18"/>
          <w:szCs w:val="18"/>
          <w:color w:val="auto"/>
        </w:rPr>
      </w:pPr>
    </w:p>
    <w:p>
      <w:pPr>
        <w:jc w:val="both"/>
        <w:ind w:left="620" w:right="79" w:hanging="327"/>
        <w:spacing w:after="0" w:line="342"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effects of the recent invasion of Ukraine by Russia, the resulting conflict and retaliatory measures by the global community have created global security concerns, including the possibility of expanded regional or global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293370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620" w:right="79"/>
        <w:spacing w:after="0" w:line="277" w:lineRule="auto"/>
        <w:rPr>
          <w:sz w:val="20"/>
          <w:szCs w:val="20"/>
          <w:color w:val="auto"/>
        </w:rPr>
      </w:pPr>
      <w:r>
        <w:rPr>
          <w:rFonts w:ascii="Arial" w:cs="Arial" w:eastAsia="Arial" w:hAnsi="Arial"/>
          <w:sz w:val="18"/>
          <w:szCs w:val="18"/>
          <w:color w:val="auto"/>
        </w:rPr>
        <w:t>which have had, are likely to continue to have, short-term and likely longer-term adverse impacts on Ukraine and Europe and around the globe;</w:t>
      </w:r>
    </w:p>
    <w:p>
      <w:pPr>
        <w:spacing w:after="0" w:line="170" w:lineRule="exact"/>
        <w:rPr>
          <w:sz w:val="20"/>
          <w:szCs w:val="20"/>
          <w:color w:val="auto"/>
        </w:rPr>
      </w:pPr>
    </w:p>
    <w:p>
      <w:pPr>
        <w:jc w:val="both"/>
        <w:ind w:left="620" w:right="79" w:hanging="327"/>
        <w:spacing w:after="0" w:line="263"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183" w:lineRule="exact"/>
        <w:rPr>
          <w:rFonts w:ascii="Arial" w:cs="Arial" w:eastAsia="Arial" w:hAnsi="Arial"/>
          <w:sz w:val="18"/>
          <w:szCs w:val="18"/>
          <w:color w:val="auto"/>
        </w:rPr>
      </w:pPr>
    </w:p>
    <w:p>
      <w:pPr>
        <w:ind w:left="620" w:right="79" w:hanging="327"/>
        <w:spacing w:after="0" w:line="27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any products developed by our future partners, if any, derived from our product candidates;</w:t>
      </w:r>
    </w:p>
    <w:p>
      <w:pPr>
        <w:spacing w:after="0" w:line="170" w:lineRule="exact"/>
        <w:rPr>
          <w:rFonts w:ascii="Arial" w:cs="Arial" w:eastAsia="Arial" w:hAnsi="Arial"/>
          <w:sz w:val="18"/>
          <w:szCs w:val="18"/>
          <w:color w:val="auto"/>
        </w:rPr>
      </w:pPr>
    </w:p>
    <w:p>
      <w:pPr>
        <w:ind w:left="620" w:hanging="327"/>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technical and business personnel; and</w:t>
      </w:r>
    </w:p>
    <w:p>
      <w:pPr>
        <w:spacing w:after="0" w:line="225" w:lineRule="exact"/>
        <w:rPr>
          <w:rFonts w:ascii="Arial" w:cs="Arial" w:eastAsia="Arial" w:hAnsi="Arial"/>
          <w:sz w:val="18"/>
          <w:szCs w:val="18"/>
          <w:color w:val="auto"/>
        </w:rPr>
      </w:pPr>
    </w:p>
    <w:p>
      <w:pPr>
        <w:ind w:left="620" w:right="79" w:hanging="327"/>
        <w:spacing w:after="0" w:line="27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(although we currently have no commitments or agreements relating to any of these types of transactions).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expect to finance cash needs through equity offerings, debt financings or other capital sources, including potential collaborations, licenses and other similar arrangements.</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may be unable to raise additional funds or enter into such other arrangements when needed on favorable terms or at all. To the extent that we raise additional capital through the sale of equity or convertible debt securities, the ownership interest of current shareholders could be diluted, and the terms of these securities may include liquidation or other preferences that adversely affect the rights of the current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and/or may reduce the value of our ordinary shares. Failure to raise capital or enter into such other arrangements when needed could have a negative impact on financial conditions and our ability to pursue our business plans and strategies. If we are unable to raise additional capital when needed, we could be forced to delay, limit, reduce or terminate our product candidate development or grant rights to develop and market our product candidates.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 (unaudited):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7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r>
      <w:tr>
        <w:trPr>
          <w:trHeight w:val="128"/>
        </w:trPr>
        <w:tc>
          <w:tcPr>
            <w:tcW w:w="7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(USD in</w:t>
            </w:r>
          </w:p>
        </w:tc>
        <w:tc>
          <w:tcPr>
            <w:tcW w:w="20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20" w:type="dxa"/>
            <w:vAlign w:val="bottom"/>
          </w:tcPr>
          <w:p>
            <w:pPr>
              <w:spacing w:after="0"/>
              <w:rPr>
                <w:sz w:val="11"/>
                <w:szCs w:val="1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(13,376)</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(11,523)</w:t>
            </w:r>
          </w:p>
        </w:tc>
        <w:tc>
          <w:tcPr>
            <w:tcW w:w="20" w:type="dxa"/>
            <w:vAlign w:val="bottom"/>
          </w:tcPr>
          <w:p>
            <w:pPr>
              <w:spacing w:after="0"/>
              <w:rPr>
                <w:sz w:val="18"/>
                <w:szCs w:val="18"/>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18"/>
                <w:szCs w:val="18"/>
                <w:color w:val="auto"/>
              </w:rPr>
            </w:pPr>
          </w:p>
        </w:tc>
      </w:tr>
      <w:tr>
        <w:trPr>
          <w:trHeight w:val="216"/>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25,217</w:t>
            </w:r>
          </w:p>
        </w:tc>
        <w:tc>
          <w:tcPr>
            <w:tcW w:w="20" w:type="dxa"/>
            <w:vAlign w:val="bottom"/>
          </w:tcPr>
          <w:p>
            <w:pPr>
              <w:spacing w:after="0"/>
              <w:rPr>
                <w:sz w:val="18"/>
                <w:szCs w:val="18"/>
                <w:color w:val="auto"/>
              </w:rPr>
            </w:pPr>
          </w:p>
        </w:tc>
      </w:tr>
      <w:tr>
        <w:trPr>
          <w:trHeight w:val="21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increase/(decrease) in 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12,872</w:t>
            </w:r>
          </w:p>
        </w:tc>
        <w:tc>
          <w:tcPr>
            <w:tcW w:w="2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Net cash used in operating activities was $13.4 million for the six months ended June 30, 2022. The largest components of our cash used in operating activities during this period was a net loss for the period of $10.6 million, non-cash adjustments of $0.9 million, and a net cash change in our working capital during the period of $1.8 million. The non-cash adjustments primarily consisted of a change in income tax benefit of $0.4 million, a change in tax credit schemes accounted for as grants of $0.1 million, and foreign exchange rate adjustments and various other immaterial changes of $1.1 million. The non-cash adjustments were offset by share-based compensation expense of $0.7 million. The negative net cash attributable to changes in our current operating assets (excluding cash) and our current operating liabilities during the period was primarily comprised of decreases of $0.2 million in trade payables and $0.1 million in other payables, due to the timing and payment of invoices received, and a decrease of $1.1 million in receivables and prepayments due to the timing of prepayments in our research and development activities and VAT receivables, and a decrease in the value of the warrant liability of $0.4 million due to a decrease in the Company’s stock price from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jc w:val="both"/>
        <w:ind w:left="60" w:right="59"/>
        <w:spacing w:after="0" w:line="288" w:lineRule="auto"/>
        <w:rPr>
          <w:sz w:val="20"/>
          <w:szCs w:val="20"/>
          <w:color w:val="auto"/>
        </w:rPr>
      </w:pPr>
      <w:r>
        <w:rPr>
          <w:rFonts w:ascii="Arial" w:cs="Arial" w:eastAsia="Arial" w:hAnsi="Arial"/>
          <w:sz w:val="16"/>
          <w:szCs w:val="16"/>
          <w:color w:val="auto"/>
        </w:rPr>
        <w:t>Net cash used in operating activities was $11.5 million for the six months ended June 30, 2021. The largest component of our cash used in operating activities during this period was a net loss for the period of $10.9 million and non-cash adjustments of $0.9 million offset by a net cash change in our working capital during the period of $0.3 million. The non-cash adjustments primarily consisted of a change in income tax benefit of $1.1 million, a change in tax credit schemes accounted for as grants of $0.4 million, and foreign exchange rate adjustments and various other immaterial changes of $0.1 million. The non-cash adjustments were offset by share-based compensation expense of $0.7 million. The positive net cash attributable to changes in our current operating assets (excluding cash) and our current operating liabilities during the period was primarily comprised of an increase of $0.9 million in other payables, due to the timing of invoices received and a decrease of $0.4 million in receivables due to timing of prepayments in our research and development activities, offset by a $1.0 million decrease in trade payables due to timing and payments of invoices.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2022 was primarily driven by the purchase of property and equipment in the amounts of $0.3 million.</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2021 was primarily driven by the purchase of property and equipment in the amounts of $0.8 million.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Net cash provided by financing activities was $7.4 million for the six months ended June 30, 2022, which was primarily due to our draw down on the EIB Loan totaling $7.8 million. This is partially offset by transaction costs related to issuance of shares of $0.2 million, repayments of lease liabilities of $0.1 million and repayments of borrowings of $0.1 million.</w:t>
      </w:r>
    </w:p>
    <w:p>
      <w:pPr>
        <w:spacing w:after="0" w:line="14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Net cash provided by financing activities was $25.2 million for the six months ended June 30, 2021, which was primarily due to net proceeds from the issuance of shares of $27.9 million from our IPO, partially offset by transaction costs of $2.6 million related to the issuance of shares and $0.1 million related to the repayment of lease liabilities.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As of June 30, 2022, we did not have any material off-balance sheet arrangements that have, or are reasonably likely to have, a current or future material effect on our financial condition, results of operations, liquidity, capital expenditures or capital resources. We did not have any other off-balance sheet arrangements, as defined in the rules and regulations of the SEC, as of or during the periods presented.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Market risk is the risk that the fair value of, or future cash flows from, a financial instrument will vary due to changes in market prices. The type of market risk that primarily impacts us is foreign currency risk.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Foreign currency risk is the risk that the fair value or future cash flows of an exposure will fluctuate because of changes in foreign exchange rates. The primary exposure derives from our expenditures in foreign currencies, mainly the USD, the Australian Dollar and the British Pound. This exposure is known as transaction exposure. We are exposed to foreign currency risk as a result of operating transactions and the translation of foreign currency bank accounts and short-term deposits. We seek to minimize our exchange rate risk by maintaining cash positions in the currencies in which we expect to incur the majority of our future expenses and we make payments from those positions.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manage interest rate risk by monitoring short- and medium-term interest rates and placing cash on deposit for periods that optimize the amount of interest earned while maintaining access to sufficient funds to meet day-to-day cash requirements. We do not currently have any loans or holdings that have variable interest rate. Accordingly, we are not exposed to material 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333375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b w:val="1"/>
          <w:bCs w:val="1"/>
          <w:color w:val="auto"/>
        </w:rPr>
        <w:t>Recently Adopted Accounting Pronouncements and Accounting Pronouncements Not Yet Adopted</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description of recently adopted accounting pronouncements and accounting pronouncements not yet adopted that may potentially impact our financial position and results of operations is disclosed in Note 2 to our audited consolidated financial statements in our Annual Report on Form 20-F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2022-08-11T17:39:29Z</dcterms:created>
  <dcterms:modified xsi:type="dcterms:W3CDTF">2022-08-11T17:39:29Z</dcterms:modified>
</cp:coreProperties>
</file>