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71026.htm"/>
      <w:bookmarkStart w:id="1" w:name="ksf6k_0710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July 2026</w:t>
      </w:r>
    </w:p>
    <w:p>
      <w:pPr>
        <w:pStyle w:val="TextBody"/>
        <w:bidi w:val="0"/>
        <w:jc w:val="center"/>
        <w:rPr/>
      </w:pPr>
      <w:r>
        <w:rPr/>
        <w:t xml:space="preserve">Commission File Number: </w:t>
      </w:r>
      <w:r>
        <w:rPr>
          <w:rStyle w:val="StrongEmphasis"/>
        </w:rPr>
        <w:t>001-39950</w:t>
      </w:r>
    </w:p>
    <w:p>
      <w:pPr>
        <w:pStyle w:val="TextBody"/>
        <w:bidi w:val="0"/>
        <w:jc w:val="center"/>
        <w:rPr/>
      </w:pPr>
      <w:r>
        <w:rPr>
          <w:rStyle w:val="StrongEmphasis"/>
          <w:sz w:val="24"/>
        </w:rPr>
        <w:t>Evaxion A/S</w:t>
      </w:r>
      <w:r>
        <w:rPr/>
        <w:br/>
        <w:t>(Exact Name of Registrant as Specified in Its Charter)</w:t>
      </w:r>
    </w:p>
    <w:p>
      <w:pPr>
        <w:pStyle w:val="TextBody"/>
        <w:bidi w:val="0"/>
        <w:jc w:val="center"/>
        <w:rPr/>
      </w:pPr>
      <w:r>
        <w:rPr>
          <w:rStyle w:val="StrongEmphasis"/>
        </w:rPr>
        <w:t>Dr. Neergaards Vej 5f</w:t>
        <w:br/>
        <w:t>DK-2970 Hoersholm</w:t>
        <w:br/>
        <w:t>Denmark</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r>
    </w:p>
    <w:p>
      <w:pPr>
        <w:pStyle w:val="TextBody"/>
        <w:bidi w:val="0"/>
        <w:jc w:val="center"/>
        <w:rPr/>
      </w:pPr>
      <w:r>
        <w:rPr/>
        <w:t>Form 20-F [ X ]      Form 40-F [   ]</w:t>
      </w:r>
    </w:p>
    <w:p>
      <w:pPr>
        <w:pStyle w:val="HorizontalLine"/>
        <w:pBdr>
          <w:bottom w:val="single" w:sz="12" w:space="0" w:color="808080"/>
        </w:pBdr>
        <w:bidi w:val="0"/>
        <w:jc w:val="left"/>
        <w:rPr/>
      </w:pPr>
      <w:r>
        <w:rPr/>
      </w:r>
    </w:p>
    <w:p>
      <w:pPr>
        <w:pStyle w:val="TextBody"/>
        <w:bidi w:val="0"/>
        <w:jc w:val="center"/>
        <w:rPr/>
      </w:pPr>
      <w:r>
        <w:rPr>
          <w:rStyle w:val="StrongEmphasis"/>
        </w:rPr>
        <w:t>INCORPORATION BY REFERENCE</w:t>
      </w:r>
    </w:p>
    <w:p>
      <w:pPr>
        <w:pStyle w:val="TextBody"/>
        <w:bidi w:val="0"/>
        <w:spacing w:before="0" w:after="283"/>
        <w:jc w:val="left"/>
        <w:rPr/>
      </w:pPr>
      <w:r>
        <w:rPr/>
        <w:t>This report on Form 6-K shall be deemed to be incorporated by reference in Evaxion A/S’s registration statements on Form S-8 (File No. 333-255064), on Form F-3 (File No. 333-265132), on Form F-1, as amended (File No. 333-266050), Form F-1 (File No. 333-276505), Form F-1 (File No. 333-279153), Form F-1 (File No. 333-283304), and Form F-3 (File No. 333- 285778), including any prospectuses forming a part of such registration statements and to be a part thereof from the date on which this report is filed, to the extent not superseded by documents or reports subsequently filed or furnished.</w:t>
      </w:r>
    </w:p>
    <w:p>
      <w:pPr>
        <w:pStyle w:val="TextBody"/>
        <w:bidi w:val="0"/>
        <w:spacing w:before="0" w:after="283"/>
        <w:jc w:val="left"/>
        <w:rPr/>
      </w:pPr>
      <w:r>
        <w:rPr>
          <w:rStyle w:val="StrongEmphasis"/>
        </w:rPr>
        <w:t>Press Release</w:t>
      </w:r>
    </w:p>
    <w:p>
      <w:pPr>
        <w:pStyle w:val="TextBody"/>
        <w:bidi w:val="0"/>
        <w:spacing w:before="0" w:after="283"/>
        <w:jc w:val="left"/>
        <w:rPr/>
      </w:pPr>
      <w:r>
        <w:rPr/>
        <w:t>On July 12, 2026, Evaxion A/S (the “Company”), a clinical-stage TechBio company specializing in developing AI-Immunology™ powered vaccines, issued a press release titled "Evaxion presents new preclinical data for cytomegalovirus vaccine program EVX-V1". A copy of the press release is furnished as Exhibit 99.1 to this report on Form 6-K.</w:t>
      </w:r>
    </w:p>
    <w:p>
      <w:pPr>
        <w:pStyle w:val="TextBody"/>
        <w:bidi w:val="0"/>
        <w:spacing w:before="0" w:after="283"/>
        <w:jc w:val="left"/>
        <w:rPr/>
      </w:pPr>
      <w:r>
        <w:rPr>
          <w:rStyle w:val="StrongEmphasis"/>
        </w:rPr>
        <w:t>Exhibits</w:t>
      </w:r>
    </w:p>
    <w:tbl>
      <w:tblPr>
        <w:tblW w:w="8575" w:type="dxa"/>
        <w:jc w:val="left"/>
        <w:tblInd w:w="0" w:type="dxa"/>
        <w:tblLayout w:type="fixed"/>
        <w:tblCellMar>
          <w:top w:w="0" w:type="dxa"/>
          <w:left w:w="0" w:type="dxa"/>
          <w:bottom w:w="0" w:type="dxa"/>
          <w:right w:w="0" w:type="dxa"/>
        </w:tblCellMar>
      </w:tblPr>
      <w:tblGrid>
        <w:gridCol w:w="1325"/>
        <w:gridCol w:w="300"/>
        <w:gridCol w:w="6950"/>
      </w:tblGrid>
      <w:tr>
        <w:trPr/>
        <w:tc>
          <w:tcPr>
            <w:tcW w:w="1325" w:type="dxa"/>
            <w:tcBorders/>
            <w:vAlign w:val="bottom"/>
          </w:tcPr>
          <w:p>
            <w:pPr>
              <w:pStyle w:val="TableContents"/>
              <w:bidi w:val="0"/>
              <w:spacing w:before="0" w:after="283"/>
              <w:jc w:val="left"/>
              <w:rPr>
                <w:sz w:val="20"/>
                <w:u w:val="single"/>
              </w:rPr>
            </w:pPr>
            <w:r>
              <w:rPr>
                <w:sz w:val="20"/>
                <w:u w:val="single"/>
              </w:rPr>
              <w:t>Exhibit Number</w:t>
            </w:r>
          </w:p>
        </w:tc>
        <w:tc>
          <w:tcPr>
            <w:tcW w:w="300" w:type="dxa"/>
            <w:tcBorders/>
            <w:vAlign w:val="center"/>
          </w:tcPr>
          <w:p>
            <w:pPr>
              <w:pStyle w:val="TableContents"/>
              <w:bidi w:val="0"/>
              <w:spacing w:before="0" w:after="283"/>
              <w:jc w:val="left"/>
              <w:rPr/>
            </w:pPr>
            <w:r>
              <w:rPr/>
              <w:t> </w:t>
            </w:r>
          </w:p>
        </w:tc>
        <w:tc>
          <w:tcPr>
            <w:tcW w:w="6950" w:type="dxa"/>
            <w:tcBorders/>
            <w:vAlign w:val="bottom"/>
          </w:tcPr>
          <w:p>
            <w:pPr>
              <w:pStyle w:val="TableContents"/>
              <w:bidi w:val="0"/>
              <w:spacing w:before="0" w:after="283"/>
              <w:jc w:val="left"/>
              <w:rPr>
                <w:sz w:val="20"/>
                <w:u w:val="single"/>
              </w:rPr>
            </w:pPr>
            <w:r>
              <w:rPr>
                <w:sz w:val="20"/>
                <w:u w:val="single"/>
              </w:rPr>
              <w:t>Description</w:t>
            </w:r>
          </w:p>
        </w:tc>
      </w:tr>
      <w:tr>
        <w:trPr/>
        <w:tc>
          <w:tcPr>
            <w:tcW w:w="132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hyperlink w:anchor="exh_991.htm">
              <w:r>
                <w:rPr>
                  <w:rStyle w:val="InternetLink"/>
                  <w:sz w:val="20"/>
                </w:rPr>
                <w:t>Evaxion presents new preclinical data for cytomegalovirus vaccine program EVX-V1</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612"/>
        <w:gridCol w:w="4185"/>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rStyle w:val="StrongEmphasis"/>
                <w:u w:val="single"/>
              </w:rPr>
              <w:t>Evaxion A/S</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July 13, 2026</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By:</w:t>
            </w:r>
          </w:p>
        </w:tc>
        <w:tc>
          <w:tcPr>
            <w:tcW w:w="4185" w:type="dxa"/>
            <w:tcBorders/>
          </w:tcPr>
          <w:p>
            <w:pPr>
              <w:pStyle w:val="TableContents"/>
              <w:bidi w:val="0"/>
              <w:spacing w:before="0" w:after="283"/>
              <w:jc w:val="left"/>
              <w:rPr>
                <w:u w:val="single"/>
              </w:rPr>
            </w:pPr>
            <w:r>
              <w:rPr>
                <w:u w:val="single"/>
              </w:rPr>
              <w:t>/s/ Helen Tayton-Martin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Helen Tayton-Martin</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 xml:space="preserve">Evaxion presents new preclinical data for cytomegalovirus vaccine program EVX-V1 </w:t>
      </w:r>
    </w:p>
    <w:p>
      <w:pPr>
        <w:pStyle w:val="TextBody"/>
        <w:numPr>
          <w:ilvl w:val="0"/>
          <w:numId w:val="2"/>
        </w:numPr>
        <w:tabs>
          <w:tab w:val="clear" w:pos="1134"/>
          <w:tab w:val="left" w:pos="709" w:leader="none"/>
        </w:tabs>
        <w:bidi w:val="0"/>
        <w:spacing w:before="0" w:after="0"/>
        <w:ind w:left="709" w:hanging="283"/>
        <w:jc w:val="both"/>
        <w:rPr>
          <w:b/>
        </w:rPr>
      </w:pPr>
      <w:r>
        <w:rPr>
          <w:b/>
        </w:rPr>
        <w:t>The new data demonstrates the potential to improve control of acute infection, latency, and viral reactivation, further supporting the concept behind EVX-V1</w:t>
      </w:r>
    </w:p>
    <w:p>
      <w:pPr>
        <w:pStyle w:val="TextBody"/>
        <w:numPr>
          <w:ilvl w:val="0"/>
          <w:numId w:val="2"/>
        </w:numPr>
        <w:tabs>
          <w:tab w:val="clear" w:pos="1134"/>
          <w:tab w:val="left" w:pos="709" w:leader="none"/>
        </w:tabs>
        <w:bidi w:val="0"/>
        <w:spacing w:before="0" w:after="0"/>
        <w:ind w:left="709" w:hanging="283"/>
        <w:jc w:val="both"/>
        <w:rPr>
          <w:b/>
        </w:rPr>
      </w:pPr>
      <w:r>
        <w:rPr>
          <w:b/>
        </w:rPr>
        <w:t>EVX-V1 is a next-generation, multi-component vaccine program combining novel AI-discovered antigens with AI-optimized versions of established CMV vaccine antigens</w:t>
      </w:r>
    </w:p>
    <w:p>
      <w:pPr>
        <w:pStyle w:val="TextBody"/>
        <w:numPr>
          <w:ilvl w:val="0"/>
          <w:numId w:val="2"/>
        </w:numPr>
        <w:tabs>
          <w:tab w:val="clear" w:pos="1134"/>
          <w:tab w:val="left" w:pos="709" w:leader="none"/>
        </w:tabs>
        <w:bidi w:val="0"/>
        <w:ind w:left="709" w:hanging="283"/>
        <w:jc w:val="both"/>
        <w:rPr>
          <w:b/>
        </w:rPr>
      </w:pPr>
      <w:r>
        <w:rPr>
          <w:b/>
        </w:rPr>
        <w:t>Data presented today in poster presentation at the International Herpesvirus Workshop 2026 taking place in Montreal, Canada</w:t>
      </w:r>
    </w:p>
    <w:p>
      <w:pPr>
        <w:pStyle w:val="TextBody"/>
        <w:bidi w:val="0"/>
        <w:jc w:val="both"/>
        <w:rPr/>
      </w:pPr>
      <w:r>
        <w:rPr/>
        <w:t>COPENHAGEN, Denmark, July 12, 2026 - Evaxion A/S (NASDAQ: EVAX) (“Evaxion”), a clinical-stage TechBio company developing novel vaccines with its pioneering AI-Immunology platform, presents new data further supporting the multi-component concept of its cytomegalovirus (CMV) vaccine program EVX-V1.</w:t>
      </w:r>
    </w:p>
    <w:p>
      <w:pPr>
        <w:pStyle w:val="TextBody"/>
        <w:bidi w:val="0"/>
        <w:jc w:val="both"/>
        <w:rPr/>
      </w:pPr>
      <w:r>
        <w:rPr/>
        <w:t>Data is presented today in a poster session at the International Herpesvirus Workshop (IHW) 2026 taking place in Montreal, Canada.</w:t>
      </w:r>
    </w:p>
    <w:p>
      <w:pPr>
        <w:pStyle w:val="TextBody"/>
        <w:bidi w:val="0"/>
        <w:jc w:val="both"/>
        <w:rPr/>
      </w:pPr>
      <w:r>
        <w:rPr/>
        <w:t>EVX-V1 is a next-generation, multi-component CMV vaccine program designed with AI-Immunology. It combines novel protective B-cell antigens and T-cell epitopes complemented by known optimized structural B-cell antigens</w:t>
      </w:r>
    </w:p>
    <w:p>
      <w:pPr>
        <w:pStyle w:val="TextBody"/>
        <w:bidi w:val="0"/>
        <w:jc w:val="both"/>
        <w:rPr/>
      </w:pPr>
      <w:r>
        <w:rPr/>
        <w:t>This broader multi-targeted strategy is expected to strengthen the protective potential of a future vaccine. The concept represents a scalable strategy for rational vaccine development across other herpesviruses.</w:t>
      </w:r>
    </w:p>
    <w:p>
      <w:pPr>
        <w:pStyle w:val="TextBody"/>
        <w:bidi w:val="0"/>
        <w:jc w:val="both"/>
        <w:rPr/>
      </w:pPr>
      <w:r>
        <w:rPr/>
        <w:t>“</w:t>
      </w:r>
      <w:r>
        <w:rPr/>
        <w:t>We are excited by the new data which will guide the selection of antigens for a broadly protective CMV vaccine candidate and as such represent an important step forward for the EVX-V1 program. CMV remains a major clinical challenge, causing severe disease in immunocompromised individuals and infants, yet no licensed vaccine exists. EVX-V1 holds the potential to transform the future CMV treatment landscape,” says Birgitte Rønø, CSO and COO of Evaxion.</w:t>
      </w:r>
    </w:p>
    <w:p>
      <w:pPr>
        <w:pStyle w:val="TextBody"/>
        <w:bidi w:val="0"/>
        <w:jc w:val="both"/>
        <w:rPr/>
      </w:pPr>
      <w:r>
        <w:rPr/>
        <w:t>The new data show that the AI-Immunology discovered novel T-cell epitopes have the potential to improve control of acute infection, latency and reactivation in CMV-infected mice. This complements previous findings of the novel B-cell antigens significantly reducing viral infection in preclinical models and the optimized known structural B-cell antigens mediating superior viral neutralization.</w:t>
      </w:r>
    </w:p>
    <w:p>
      <w:pPr>
        <w:pStyle w:val="TextBody"/>
        <w:bidi w:val="0"/>
        <w:jc w:val="both"/>
        <w:rPr/>
      </w:pPr>
      <w:r>
        <w:rPr>
          <w:b/>
        </w:rPr>
        <w:t>About EVX-V1</w:t>
      </w:r>
      <w:r>
        <w:rPr/>
        <w:br/>
        <w:t>EVX-V1 is a next-generation, multi-component cytomegalovirus (CMV) vaccine candidate combining novel AI-discovered antigens with AI-optimized versions of established CMV vaccine antigens. Through this combination, EVX-V1 attacks the virus from multiple, complementary angles. This broader multi-targeted strategy is expected to strengthen the protective potential of the vaccine.</w:t>
      </w:r>
    </w:p>
    <w:p>
      <w:pPr>
        <w:pStyle w:val="TextBody"/>
        <w:bidi w:val="0"/>
        <w:jc w:val="both"/>
        <w:rPr/>
      </w:pPr>
      <w:r>
        <w:rPr/>
        <w:t>With our AI-Immunology platform, we have uncovered novel antigens that are entirely new to the CMV vaccine research field. These previously unexplored CMV-antigens induce specific immune responses, inhibit viral infection and reduce cell-to-cell spread in cellular and animal viral infection models.</w:t>
      </w:r>
    </w:p>
    <w:p>
      <w:pPr>
        <w:pStyle w:val="TextBody"/>
        <w:bidi w:val="0"/>
        <w:jc w:val="both"/>
        <w:rPr/>
      </w:pPr>
      <w:r>
        <w:rPr/>
        <w:t>EVX-V1 is a combination of these antigens with our proprietary AI-optimized pre-fusion glycoprotein B (gB) antigen which has demonstrated superior performance compared to the traditional gB antigen, including enhanced CMV neutralization.</w:t>
      </w:r>
    </w:p>
    <w:p>
      <w:pPr>
        <w:pStyle w:val="TextBody"/>
        <w:bidi w:val="0"/>
        <w:jc w:val="both"/>
        <w:rPr/>
      </w:pPr>
      <w:r>
        <w:rPr>
          <w:b/>
        </w:rPr>
        <w:t>About CMV</w:t>
      </w:r>
      <w:r>
        <w:rPr/>
        <w:br/>
        <w:t>About 1 in 200 babies is born with congenital CMV infection. About 1 in 5 babies with the infection will have congenital disabilities or other long-term health problems. CMV infects approximately 60% to 70% of adults in developed countries and nearly 100% in developing economies, driving demand for CMV treatment. Despite decades of research, no CMV vaccine has been approved to date.</w:t>
      </w:r>
    </w:p>
    <w:p>
      <w:pPr>
        <w:pStyle w:val="TextBody"/>
        <w:bidi w:val="0"/>
        <w:jc w:val="both"/>
        <w:rPr/>
      </w:pPr>
      <w:r>
        <w:rPr/>
        <w:t>CMV treatment market size was valued at $474.6 million in 2023 and is anticipated to register an annual growth (CAGR) of 6.6% between 2024 and 2032. This growth is propelled by increasing awareness and prevalence of CMV infection and the development of new and effective treatments.</w:t>
      </w:r>
    </w:p>
    <w:p>
      <w:pPr>
        <w:pStyle w:val="TextBody"/>
        <w:bidi w:val="0"/>
        <w:jc w:val="both"/>
        <w:rPr/>
      </w:pPr>
      <w:r>
        <w:rPr/>
        <w:t>CMV is the most complex of all herpes viruses and is a widespread infection transmitted in body fluids. Once infected, the virus stays for life. People with weakened immune systems, including organ transplant patients, can develop severe symptoms affecting, for example, eyes, lungs, and liver, and congenitally infected babies may suffer from intellectual disability and loss of vision and hearing.</w:t>
      </w:r>
    </w:p>
    <w:p>
      <w:pPr>
        <w:pStyle w:val="TextBody"/>
        <w:bidi w:val="0"/>
        <w:jc w:val="both"/>
        <w:rPr/>
      </w:pPr>
      <w:r>
        <w:rPr>
          <w:b/>
        </w:rPr>
        <w:t>Contact information</w:t>
      </w:r>
      <w:r>
        <w:rPr/>
        <w:t> </w:t>
        <w:br/>
        <w:t>Evaxion A/S</w:t>
        <w:br/>
        <w:t>Mads Kronborg</w:t>
        <w:br/>
        <w:t>Vice President, Investor Relations &amp; Communication</w:t>
        <w:br/>
        <w:t xml:space="preserve">+45 53 54 82 96 </w:t>
        <w:br/>
        <w:t>mak@evaxion.ai</w:t>
      </w:r>
    </w:p>
    <w:p>
      <w:pPr>
        <w:pStyle w:val="TextBody"/>
        <w:bidi w:val="0"/>
        <w:jc w:val="both"/>
        <w:rPr/>
      </w:pPr>
      <w:r>
        <w:rPr>
          <w:b/>
        </w:rPr>
        <w:t>About Evaxion</w:t>
      </w:r>
      <w:r>
        <w:rPr/>
        <w:t xml:space="preserve"> </w:t>
        <w:br/>
        <w:t>Evaxion is a pioneering TechBio company based upon its proprietary, clinically validated and scalable AI platform, AI-Immunology. The platform harnesses the power of artificial intelligence to decode the human immune system and develop novel vaccine candidates for cancer and infectious diseases.</w:t>
      </w:r>
    </w:p>
    <w:p>
      <w:pPr>
        <w:pStyle w:val="TextBody"/>
        <w:bidi w:val="0"/>
        <w:jc w:val="both"/>
        <w:rPr/>
      </w:pPr>
      <w:r>
        <w:rPr/>
        <w:t>With AI-Immunology we conduct rapid, efficient and high-quality target discovery, drug design and development. Our team of +40 experts covers the entire value chain from target discovery to clinical development</w:t>
      </w:r>
    </w:p>
    <w:p>
      <w:pPr>
        <w:pStyle w:val="TextBody"/>
        <w:bidi w:val="0"/>
        <w:jc w:val="both"/>
        <w:rPr/>
      </w:pPr>
      <w:r>
        <w:rPr/>
        <w:t>We have developed a clinical pipeline of both personalized and off-the-shelf cancer vaccine candidates as well as prophylactic vaccine candidates for infectious diseases. All our candidates address high unmet medical needs, reflecting our commitment to transforming patients’ lives by providing innovative and targeted treatment options.</w:t>
      </w:r>
    </w:p>
    <w:p>
      <w:pPr>
        <w:pStyle w:val="TextBody"/>
        <w:bidi w:val="0"/>
        <w:jc w:val="both"/>
        <w:rPr/>
      </w:pPr>
      <w:r>
        <w:rPr/>
        <w:t>For more information about Evaxion, AI-Immunology and our pipeline, please visit our website. </w:t>
      </w:r>
    </w:p>
    <w:p>
      <w:pPr>
        <w:pStyle w:val="TextBody"/>
        <w:bidi w:val="0"/>
        <w:spacing w:before="0" w:after="283"/>
        <w:jc w:val="both"/>
        <w:rPr/>
      </w:pPr>
      <w:r>
        <w:rPr>
          <w:b/>
        </w:rPr>
        <w:t>Forward-looking statement</w:t>
      </w:r>
      <w:r>
        <w:rPr/>
        <w:t> </w:t>
        <w:br/>
        <w:t>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other significant geopolitical and macro-economic events; and other uncertainties affecting our business operations and financial condition. For further discussion of these risks, please refer to the risk factors included in our most recent Annual Report on Form 20-F and other filings with the US Securities and Exchange Commission (SEC), which are available at </w:t>
      </w:r>
      <w:r>
        <w:rPr>
          <w:b/>
        </w:rPr>
        <w:t>www.sec.gov</w:t>
      </w:r>
      <w:r>
        <w:rPr/>
        <w:t>. We do not assume any obligation to update any forward-looking statements except as required by law.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1336</Words>
  <Characters>7965</Characters>
  <CharactersWithSpaces>9287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