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For the month of October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1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Biotech A/S’s registration statements on Form S-8 (File No. 333-255064), on Form F-3 (File No. 333-265132), on Form F-1, as amended (File No. 333-266050), Form F-1 (File No. 333-276505), and Form F-1 (File No. 333-279153),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On October 31, 2024, Evaxion Biotech A/S (the “Company”), a clinical-stage TechBio company specializing in developing AI-Immunology™ powered vaccines, issued a press release titled “Evaxion announces business update and third quarter 2024 financial results”.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Evaxion Biotech A/S</w:t>
            </w:r>
          </w:p>
        </w:tc>
      </w:tr>
      <w:tr>
        <w:trPr>
          <w:trHeight w:val="237"/>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180" w:type="dxa"/>
            <w:vAlign w:val="bottom"/>
          </w:tcPr>
          <w:p>
            <w:pPr>
              <w:spacing w:after="0"/>
              <w:rPr>
                <w:sz w:val="20"/>
                <w:szCs w:val="20"/>
                <w:color w:val="auto"/>
              </w:rPr>
            </w:pPr>
          </w:p>
        </w:tc>
      </w:tr>
      <w:tr>
        <w:trPr>
          <w:trHeight w:val="60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Christian Kanstrup</w:t>
            </w:r>
          </w:p>
        </w:tc>
      </w:tr>
      <w:tr>
        <w:trPr>
          <w:trHeight w:val="218"/>
        </w:trPr>
        <w:tc>
          <w:tcPr>
            <w:tcW w:w="3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Kanstrup</w:t>
            </w:r>
          </w:p>
        </w:tc>
      </w:tr>
      <w:tr>
        <w:trPr>
          <w:trHeight w:val="234"/>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third quarter 2024 financial results</w:t>
      </w:r>
    </w:p>
    <w:p>
      <w:pPr>
        <w:spacing w:after="0" w:line="210"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COPENHAGEN, Denmark, October 31, 2024 - Evaxion Biotech A/S (NASDAQ: EVAX) (“Evaxion”), a clinical-stage TechBio company specializing in developing AI-Immunology™ powered vaccines, provides business update and announces third quarter 2024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(since last quarterly update)</w:t>
      </w:r>
    </w:p>
    <w:p>
      <w:pPr>
        <w:spacing w:after="0" w:line="21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Since the second quarter 2024 business update, we have continued to execute strongly on our strategy and plans with several major milestones achieved. Key highlights include:</w:t>
      </w:r>
    </w:p>
    <w:p>
      <w:pPr>
        <w:spacing w:after="0" w:line="158" w:lineRule="exact"/>
        <w:rPr>
          <w:sz w:val="20"/>
          <w:szCs w:val="20"/>
          <w:color w:val="auto"/>
        </w:rPr>
      </w:pPr>
    </w:p>
    <w:p>
      <w:pPr>
        <w:ind w:left="540" w:right="180"/>
        <w:spacing w:after="0" w:line="241" w:lineRule="auto"/>
        <w:rPr>
          <w:sz w:val="20"/>
          <w:szCs w:val="20"/>
          <w:color w:val="auto"/>
        </w:rPr>
      </w:pPr>
      <w:r>
        <w:rPr>
          <w:rFonts w:ascii="Times New Roman" w:cs="Times New Roman" w:eastAsia="Times New Roman" w:hAnsi="Times New Roman"/>
          <w:sz w:val="22"/>
          <w:szCs w:val="22"/>
          <w:color w:val="auto"/>
        </w:rPr>
        <w:t>Significant expansion of the infectious disease vaccine development collaboration with MSD (tradename of Merck &amp; co., Inc., Rahway, NJ, USA) in a transformative deal for Evaxion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0"/>
        <w:spacing w:after="0" w:line="230" w:lineRule="auto"/>
        <w:rPr>
          <w:sz w:val="20"/>
          <w:szCs w:val="20"/>
          <w:color w:val="auto"/>
        </w:rPr>
      </w:pPr>
      <w:r>
        <w:rPr>
          <w:rFonts w:ascii="Times New Roman" w:cs="Times New Roman" w:eastAsia="Times New Roman" w:hAnsi="Times New Roman"/>
          <w:sz w:val="22"/>
          <w:szCs w:val="22"/>
          <w:color w:val="auto"/>
        </w:rPr>
        <w:t>Continuously increasing external interest and several ongoing partnerships discussions covering both our platform and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0"/>
        <w:spacing w:after="0" w:line="234" w:lineRule="auto"/>
        <w:rPr>
          <w:sz w:val="20"/>
          <w:szCs w:val="20"/>
          <w:color w:val="auto"/>
        </w:rPr>
      </w:pPr>
      <w:r>
        <w:rPr>
          <w:rFonts w:ascii="Times New Roman" w:cs="Times New Roman" w:eastAsia="Times New Roman" w:hAnsi="Times New Roman"/>
          <w:sz w:val="22"/>
          <w:szCs w:val="22"/>
          <w:color w:val="auto"/>
        </w:rPr>
        <w:t>Strong progress in clinical and preclinical development with convincing phase 2 data presented for personalized cancer vaccine EVX-01 and preclinical Proof-of-Concept obtained for EVX-B2 mRNA Gonorrhea vaccine candidate Launch of improved AI-Immunology™ platform for vaccine antigen prediction Thomas Schmidt appointed as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-576580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-113665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“We continued to make solid progress on our strategy execution in a busy third quarter and are very pleased to have achieved several important milestones across our company. The MSD agreement, which holds the potential to transform Evaxion over the coming years, and the groundbreaking EVX-01 phase 2 efficacy data, stand out among our many achievements. We continue to demonstrate our strong capabilities as a truly AI-based TechBio company and remain focused on advancing on-going partnerships as well as new partnership discussions, progressing the EVX-01 trial and carrying through preclinical studies as a basis for expanding our R&amp;D pipeline,” says Christian Kanstrup, CEO of Evaxion.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2024 Milestones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2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74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Milestones</w:t>
            </w:r>
          </w:p>
        </w:tc>
        <w:tc>
          <w:tcPr>
            <w:tcW w:w="424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EVX-B1</w:t>
            </w:r>
          </w:p>
        </w:tc>
        <w:tc>
          <w:tcPr>
            <w:tcW w:w="474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Conclusion of final MTA study with potential</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Q1</w:t>
            </w:r>
          </w:p>
        </w:tc>
        <w:tc>
          <w:tcPr>
            <w:tcW w:w="3820" w:type="dxa"/>
            <w:vAlign w:val="bottom"/>
            <w:tcBorders>
              <w:right w:val="single" w:sz="8" w:color="auto"/>
            </w:tcBorders>
            <w:vMerge w:val="restart"/>
          </w:tcPr>
          <w:p>
            <w:pPr>
              <w:ind w:left="40"/>
              <w:spacing w:after="0" w:line="253" w:lineRule="exact"/>
              <w:rPr>
                <w:sz w:val="20"/>
                <w:szCs w:val="20"/>
                <w:color w:val="auto"/>
              </w:rPr>
            </w:pPr>
            <w:r>
              <w:rPr>
                <w:rFonts w:ascii="Times New Roman" w:cs="Times New Roman" w:eastAsia="Times New Roman" w:hAnsi="Times New Roman"/>
                <w:sz w:val="22"/>
                <w:szCs w:val="22"/>
                <w:color w:val="auto"/>
              </w:rPr>
              <w:t xml:space="preserve">2024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2260" w:type="dxa"/>
            <w:vAlign w:val="bottom"/>
            <w:tcBorders>
              <w:left w:val="single" w:sz="8" w:color="auto"/>
              <w:right w:val="single" w:sz="8" w:color="auto"/>
            </w:tcBorders>
            <w:vMerge w:val="continue"/>
          </w:tcPr>
          <w:p>
            <w:pPr>
              <w:spacing w:after="0"/>
              <w:rPr>
                <w:sz w:val="16"/>
                <w:szCs w:val="16"/>
                <w:color w:val="auto"/>
              </w:rPr>
            </w:pP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partner</w:t>
            </w:r>
          </w:p>
        </w:tc>
        <w:tc>
          <w:tcPr>
            <w:tcW w:w="420" w:type="dxa"/>
            <w:vAlign w:val="bottom"/>
            <w:vMerge w:val="continue"/>
          </w:tcPr>
          <w:p>
            <w:pPr>
              <w:spacing w:after="0"/>
              <w:rPr>
                <w:sz w:val="16"/>
                <w:szCs w:val="16"/>
                <w:color w:val="auto"/>
              </w:rPr>
            </w:pPr>
          </w:p>
        </w:tc>
        <w:tc>
          <w:tcPr>
            <w:tcW w:w="38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260" w:type="dxa"/>
            <w:vAlign w:val="bottom"/>
            <w:tcBorders>
              <w:left w:val="single" w:sz="8" w:color="auto"/>
              <w:bottom w:val="single" w:sz="8" w:color="auto"/>
              <w:right w:val="single" w:sz="8" w:color="auto"/>
            </w:tcBorders>
          </w:tcPr>
          <w:p>
            <w:pPr>
              <w:spacing w:after="0"/>
              <w:rPr>
                <w:sz w:val="7"/>
                <w:szCs w:val="7"/>
                <w:color w:val="auto"/>
              </w:rPr>
            </w:pPr>
          </w:p>
        </w:tc>
        <w:tc>
          <w:tcPr>
            <w:tcW w:w="4740" w:type="dxa"/>
            <w:vAlign w:val="bottom"/>
            <w:tcBorders>
              <w:bottom w:val="single" w:sz="8" w:color="auto"/>
              <w:right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AI-Immunology™</w:t>
            </w: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Launch of EDEN™ model version 5.0</w:t>
            </w:r>
          </w:p>
        </w:tc>
        <w:tc>
          <w:tcPr>
            <w:tcW w:w="4240" w:type="dxa"/>
            <w:vAlign w:val="bottom"/>
            <w:tcBorders>
              <w:right w:val="single" w:sz="8" w:color="auto"/>
            </w:tcBorders>
            <w:gridSpan w:val="2"/>
          </w:tcPr>
          <w:p>
            <w:pPr>
              <w:ind w:left="140"/>
              <w:spacing w:after="0" w:line="197" w:lineRule="exact"/>
              <w:rPr>
                <w:sz w:val="20"/>
                <w:szCs w:val="20"/>
                <w:color w:val="auto"/>
              </w:rPr>
            </w:pPr>
            <w:r>
              <w:rPr>
                <w:rFonts w:ascii="Times New Roman" w:cs="Times New Roman" w:eastAsia="Times New Roman" w:hAnsi="Times New Roman"/>
                <w:sz w:val="22"/>
                <w:szCs w:val="22"/>
                <w:color w:val="auto"/>
              </w:rPr>
              <w:t>Mid 2024</w:t>
            </w:r>
          </w:p>
        </w:tc>
        <w:tc>
          <w:tcPr>
            <w:tcW w:w="0" w:type="dxa"/>
            <w:vAlign w:val="bottom"/>
          </w:tcPr>
          <w:p>
            <w:pPr>
              <w:spacing w:after="0"/>
              <w:rPr>
                <w:sz w:val="1"/>
                <w:szCs w:val="1"/>
                <w:color w:val="auto"/>
              </w:rPr>
            </w:pPr>
          </w:p>
        </w:tc>
      </w:tr>
      <w:tr>
        <w:trPr>
          <w:trHeight w:val="188"/>
        </w:trPr>
        <w:tc>
          <w:tcPr>
            <w:tcW w:w="2260" w:type="dxa"/>
            <w:vAlign w:val="bottom"/>
            <w:tcBorders>
              <w:left w:val="single" w:sz="8" w:color="auto"/>
              <w:right w:val="single" w:sz="8" w:color="auto"/>
            </w:tcBorders>
            <w:vMerge w:val="continue"/>
          </w:tcPr>
          <w:p>
            <w:pPr>
              <w:spacing w:after="0"/>
              <w:rPr>
                <w:sz w:val="16"/>
                <w:szCs w:val="16"/>
                <w:color w:val="auto"/>
              </w:rPr>
            </w:pPr>
          </w:p>
        </w:tc>
        <w:tc>
          <w:tcPr>
            <w:tcW w:w="4740" w:type="dxa"/>
            <w:vAlign w:val="bottom"/>
            <w:tcBorders>
              <w:right w:val="single" w:sz="8" w:color="auto"/>
            </w:tcBorders>
            <w:vMerge w:val="continue"/>
          </w:tcPr>
          <w:p>
            <w:pPr>
              <w:spacing w:after="0"/>
              <w:rPr>
                <w:sz w:val="16"/>
                <w:szCs w:val="16"/>
                <w:color w:val="auto"/>
              </w:rPr>
            </w:pPr>
          </w:p>
        </w:tc>
        <w:tc>
          <w:tcPr>
            <w:tcW w:w="4240" w:type="dxa"/>
            <w:vAlign w:val="bottom"/>
            <w:tcBorders>
              <w:right w:val="single" w:sz="8" w:color="auto"/>
            </w:tcBorders>
            <w:gridSpan w:val="2"/>
            <w:vMerge w:val="restart"/>
          </w:tcPr>
          <w:p>
            <w:pPr>
              <w:ind w:left="140"/>
              <w:spacing w:after="0" w:line="253" w:lineRule="exact"/>
              <w:rPr>
                <w:sz w:val="20"/>
                <w:szCs w:val="20"/>
                <w:color w:val="auto"/>
              </w:rPr>
            </w:pPr>
            <w:r>
              <w:rPr>
                <w:rFonts w:ascii="Times New Roman" w:cs="Times New Roman" w:eastAsia="Times New Roman" w:hAnsi="Times New Roman"/>
                <w:sz w:val="22"/>
                <w:szCs w:val="22"/>
                <w:color w:val="auto"/>
              </w:rPr>
              <w:t xml:space="preserve">(ECCB, September)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37"/>
        </w:trPr>
        <w:tc>
          <w:tcPr>
            <w:tcW w:w="2260" w:type="dxa"/>
            <w:vAlign w:val="bottom"/>
            <w:tcBorders>
              <w:left w:val="single" w:sz="8" w:color="auto"/>
              <w:bottom w:val="single" w:sz="8" w:color="auto"/>
              <w:right w:val="single" w:sz="8" w:color="auto"/>
            </w:tcBorders>
          </w:tcPr>
          <w:p>
            <w:pPr>
              <w:spacing w:after="0"/>
              <w:rPr>
                <w:sz w:val="11"/>
                <w:szCs w:val="11"/>
                <w:color w:val="auto"/>
              </w:rPr>
            </w:pPr>
          </w:p>
        </w:tc>
        <w:tc>
          <w:tcPr>
            <w:tcW w:w="4740" w:type="dxa"/>
            <w:vAlign w:val="bottom"/>
            <w:tcBorders>
              <w:bottom w:val="single" w:sz="8" w:color="auto"/>
              <w:right w:val="single" w:sz="8" w:color="auto"/>
            </w:tcBorders>
          </w:tcPr>
          <w:p>
            <w:pPr>
              <w:spacing w:after="0"/>
              <w:rPr>
                <w:sz w:val="11"/>
                <w:szCs w:val="11"/>
                <w:color w:val="auto"/>
              </w:rPr>
            </w:pPr>
          </w:p>
        </w:tc>
        <w:tc>
          <w:tcPr>
            <w:tcW w:w="424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EVX-B2-mRNA</w:t>
            </w:r>
          </w:p>
        </w:tc>
        <w:tc>
          <w:tcPr>
            <w:tcW w:w="4740" w:type="dxa"/>
            <w:vAlign w:val="bottom"/>
            <w:tcBorders>
              <w:right w:val="single" w:sz="8" w:color="auto"/>
            </w:tcBorders>
          </w:tcPr>
          <w:p>
            <w:pPr>
              <w:ind w:left="120"/>
              <w:spacing w:after="0" w:line="228" w:lineRule="exact"/>
              <w:rPr>
                <w:sz w:val="20"/>
                <w:szCs w:val="20"/>
                <w:color w:val="auto"/>
              </w:rPr>
            </w:pPr>
            <w:r>
              <w:rPr>
                <w:rFonts w:ascii="Times New Roman" w:cs="Times New Roman" w:eastAsia="Times New Roman" w:hAnsi="Times New Roman"/>
                <w:sz w:val="22"/>
                <w:szCs w:val="22"/>
                <w:color w:val="auto"/>
              </w:rPr>
              <w:t>EVX-B2-mRNA preclinical Proof-of-Concept</w:t>
            </w:r>
          </w:p>
        </w:tc>
        <w:tc>
          <w:tcPr>
            <w:tcW w:w="420" w:type="dxa"/>
            <w:vAlign w:val="bottom"/>
          </w:tcPr>
          <w:p>
            <w:pPr>
              <w:ind w:left="140"/>
              <w:spacing w:after="0" w:line="228" w:lineRule="exact"/>
              <w:rPr>
                <w:sz w:val="20"/>
                <w:szCs w:val="20"/>
                <w:color w:val="auto"/>
              </w:rPr>
            </w:pPr>
            <w:r>
              <w:rPr>
                <w:rFonts w:ascii="Times New Roman" w:cs="Times New Roman" w:eastAsia="Times New Roman" w:hAnsi="Times New Roman"/>
                <w:sz w:val="22"/>
                <w:szCs w:val="22"/>
                <w:color w:val="auto"/>
                <w:w w:val="96"/>
              </w:rPr>
              <w:t>Q3</w:t>
            </w:r>
          </w:p>
        </w:tc>
        <w:tc>
          <w:tcPr>
            <w:tcW w:w="3820" w:type="dxa"/>
            <w:vAlign w:val="bottom"/>
            <w:tcBorders>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182"/>
        </w:trPr>
        <w:tc>
          <w:tcPr>
            <w:tcW w:w="2260" w:type="dxa"/>
            <w:vAlign w:val="bottom"/>
            <w:tcBorders>
              <w:left w:val="single" w:sz="8" w:color="auto"/>
              <w:right w:val="single" w:sz="8" w:color="auto"/>
            </w:tcBorders>
            <w:vMerge w:val="continue"/>
          </w:tcPr>
          <w:p>
            <w:pPr>
              <w:spacing w:after="0"/>
              <w:rPr>
                <w:sz w:val="15"/>
                <w:szCs w:val="15"/>
                <w:color w:val="auto"/>
              </w:rPr>
            </w:pP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obtained</w:t>
            </w:r>
          </w:p>
        </w:tc>
        <w:tc>
          <w:tcPr>
            <w:tcW w:w="4240" w:type="dxa"/>
            <w:vAlign w:val="bottom"/>
            <w:tcBorders>
              <w:right w:val="single" w:sz="8" w:color="auto"/>
            </w:tcBorders>
            <w:gridSpan w:val="2"/>
            <w:vMerge w:val="restart"/>
          </w:tcPr>
          <w:p>
            <w:pPr>
              <w:ind w:left="140"/>
              <w:spacing w:after="0" w:line="331" w:lineRule="exact"/>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Vaccine Congress, September)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50"/>
        </w:trPr>
        <w:tc>
          <w:tcPr>
            <w:tcW w:w="2260" w:type="dxa"/>
            <w:vAlign w:val="bottom"/>
            <w:tcBorders>
              <w:left w:val="single" w:sz="8" w:color="auto"/>
              <w:bottom w:val="single" w:sz="8" w:color="auto"/>
              <w:right w:val="single" w:sz="8" w:color="auto"/>
            </w:tcBorders>
          </w:tcPr>
          <w:p>
            <w:pPr>
              <w:spacing w:after="0"/>
              <w:rPr>
                <w:sz w:val="13"/>
                <w:szCs w:val="13"/>
                <w:color w:val="auto"/>
              </w:rPr>
            </w:pPr>
          </w:p>
        </w:tc>
        <w:tc>
          <w:tcPr>
            <w:tcW w:w="4740" w:type="dxa"/>
            <w:vAlign w:val="bottom"/>
            <w:tcBorders>
              <w:bottom w:val="single" w:sz="8" w:color="auto"/>
              <w:right w:val="single" w:sz="8" w:color="auto"/>
            </w:tcBorders>
            <w:vMerge w:val="continue"/>
          </w:tcPr>
          <w:p>
            <w:pPr>
              <w:spacing w:after="0"/>
              <w:rPr>
                <w:sz w:val="13"/>
                <w:szCs w:val="13"/>
                <w:color w:val="auto"/>
              </w:rPr>
            </w:pPr>
          </w:p>
        </w:tc>
        <w:tc>
          <w:tcPr>
            <w:tcW w:w="4240" w:type="dxa"/>
            <w:vAlign w:val="bottom"/>
            <w:tcBorders>
              <w:bottom w:val="single" w:sz="8" w:color="auto"/>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EVX-01</w:t>
            </w: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Phase 2 one-year readout</w:t>
            </w:r>
          </w:p>
        </w:tc>
        <w:tc>
          <w:tcPr>
            <w:tcW w:w="420" w:type="dxa"/>
            <w:vAlign w:val="bottom"/>
          </w:tcPr>
          <w:p>
            <w:pPr>
              <w:ind w:left="140"/>
              <w:spacing w:after="0" w:line="196" w:lineRule="exact"/>
              <w:rPr>
                <w:sz w:val="20"/>
                <w:szCs w:val="20"/>
                <w:color w:val="auto"/>
              </w:rPr>
            </w:pPr>
            <w:r>
              <w:rPr>
                <w:rFonts w:ascii="Times New Roman" w:cs="Times New Roman" w:eastAsia="Times New Roman" w:hAnsi="Times New Roman"/>
                <w:sz w:val="22"/>
                <w:szCs w:val="22"/>
                <w:color w:val="auto"/>
                <w:w w:val="96"/>
              </w:rPr>
              <w:t>Q3</w:t>
            </w:r>
          </w:p>
        </w:tc>
        <w:tc>
          <w:tcPr>
            <w:tcW w:w="382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188"/>
        </w:trPr>
        <w:tc>
          <w:tcPr>
            <w:tcW w:w="2260" w:type="dxa"/>
            <w:vAlign w:val="bottom"/>
            <w:tcBorders>
              <w:left w:val="single" w:sz="8" w:color="auto"/>
              <w:right w:val="single" w:sz="8" w:color="auto"/>
            </w:tcBorders>
            <w:vMerge w:val="continue"/>
          </w:tcPr>
          <w:p>
            <w:pPr>
              <w:spacing w:after="0"/>
              <w:rPr>
                <w:sz w:val="16"/>
                <w:szCs w:val="16"/>
                <w:color w:val="auto"/>
              </w:rPr>
            </w:pPr>
          </w:p>
        </w:tc>
        <w:tc>
          <w:tcPr>
            <w:tcW w:w="4740" w:type="dxa"/>
            <w:vAlign w:val="bottom"/>
            <w:tcBorders>
              <w:right w:val="single" w:sz="8" w:color="auto"/>
            </w:tcBorders>
            <w:vMerge w:val="continue"/>
          </w:tcPr>
          <w:p>
            <w:pPr>
              <w:spacing w:after="0"/>
              <w:rPr>
                <w:sz w:val="16"/>
                <w:szCs w:val="16"/>
                <w:color w:val="auto"/>
              </w:rPr>
            </w:pPr>
          </w:p>
        </w:tc>
        <w:tc>
          <w:tcPr>
            <w:tcW w:w="4240" w:type="dxa"/>
            <w:vAlign w:val="bottom"/>
            <w:tcBorders>
              <w:right w:val="single" w:sz="8" w:color="auto"/>
            </w:tcBorders>
            <w:gridSpan w:val="2"/>
            <w:vMerge w:val="restart"/>
          </w:tcPr>
          <w:p>
            <w:pPr>
              <w:ind w:left="140"/>
              <w:spacing w:after="0" w:line="253" w:lineRule="exact"/>
              <w:rPr>
                <w:sz w:val="20"/>
                <w:szCs w:val="20"/>
                <w:color w:val="auto"/>
              </w:rPr>
            </w:pPr>
            <w:r>
              <w:rPr>
                <w:rFonts w:ascii="Times New Roman" w:cs="Times New Roman" w:eastAsia="Times New Roman" w:hAnsi="Times New Roman"/>
                <w:sz w:val="22"/>
                <w:szCs w:val="22"/>
                <w:color w:val="auto"/>
              </w:rPr>
              <w:t xml:space="preserve">(ESMO Congress, September)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37"/>
        </w:trPr>
        <w:tc>
          <w:tcPr>
            <w:tcW w:w="2260" w:type="dxa"/>
            <w:vAlign w:val="bottom"/>
            <w:tcBorders>
              <w:left w:val="single" w:sz="8" w:color="auto"/>
              <w:bottom w:val="single" w:sz="8" w:color="auto"/>
              <w:right w:val="single" w:sz="8" w:color="auto"/>
            </w:tcBorders>
          </w:tcPr>
          <w:p>
            <w:pPr>
              <w:spacing w:after="0"/>
              <w:rPr>
                <w:sz w:val="11"/>
                <w:szCs w:val="11"/>
                <w:color w:val="auto"/>
              </w:rPr>
            </w:pPr>
          </w:p>
        </w:tc>
        <w:tc>
          <w:tcPr>
            <w:tcW w:w="4740" w:type="dxa"/>
            <w:vAlign w:val="bottom"/>
            <w:tcBorders>
              <w:bottom w:val="single" w:sz="8" w:color="auto"/>
              <w:right w:val="single" w:sz="8" w:color="auto"/>
            </w:tcBorders>
          </w:tcPr>
          <w:p>
            <w:pPr>
              <w:spacing w:after="0"/>
              <w:rPr>
                <w:sz w:val="11"/>
                <w:szCs w:val="11"/>
                <w:color w:val="auto"/>
              </w:rPr>
            </w:pPr>
          </w:p>
        </w:tc>
        <w:tc>
          <w:tcPr>
            <w:tcW w:w="424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474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Conclusion of target discovery and validation work</w:t>
            </w:r>
          </w:p>
        </w:tc>
        <w:tc>
          <w:tcPr>
            <w:tcW w:w="420" w:type="dxa"/>
            <w:vAlign w:val="bottom"/>
          </w:tcPr>
          <w:p>
            <w:pPr>
              <w:spacing w:after="0"/>
              <w:rPr>
                <w:sz w:val="19"/>
                <w:szCs w:val="19"/>
                <w:color w:val="auto"/>
              </w:rPr>
            </w:pPr>
          </w:p>
        </w:tc>
        <w:tc>
          <w:tcPr>
            <w:tcW w:w="3820" w:type="dxa"/>
            <w:vAlign w:val="bottom"/>
            <w:tcBorders>
              <w:right w:val="single" w:sz="8" w:color="auto"/>
            </w:tcBorders>
            <w:vMerge w:val="restart"/>
          </w:tcPr>
          <w:p>
            <w:pPr>
              <w:ind w:left="40"/>
              <w:spacing w:after="0" w:line="253" w:lineRule="exact"/>
              <w:rPr>
                <w:sz w:val="20"/>
                <w:szCs w:val="20"/>
                <w:color w:val="auto"/>
              </w:rPr>
            </w:pPr>
            <w:r>
              <w:rPr>
                <w:rFonts w:ascii="Times New Roman" w:cs="Times New Roman" w:eastAsia="Times New Roman" w:hAnsi="Times New Roman"/>
                <w:sz w:val="22"/>
                <w:szCs w:val="22"/>
                <w:color w:val="auto"/>
              </w:rPr>
              <w:t>2024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ind w:left="160"/>
              <w:spacing w:after="0" w:line="243" w:lineRule="exact"/>
              <w:rPr>
                <w:sz w:val="20"/>
                <w:szCs w:val="20"/>
                <w:color w:val="auto"/>
              </w:rPr>
            </w:pPr>
            <w:r>
              <w:rPr>
                <w:rFonts w:ascii="Times New Roman" w:cs="Times New Roman" w:eastAsia="Times New Roman" w:hAnsi="Times New Roman"/>
                <w:sz w:val="22"/>
                <w:szCs w:val="22"/>
                <w:color w:val="auto"/>
              </w:rPr>
              <w:t>EVX-B3</w:t>
            </w:r>
          </w:p>
        </w:tc>
        <w:tc>
          <w:tcPr>
            <w:tcW w:w="47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in collaboration with MSD (tradename of Merck &amp;</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H2</w:t>
            </w:r>
          </w:p>
        </w:tc>
        <w:tc>
          <w:tcPr>
            <w:tcW w:w="38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 Inc., Rahway, NJ, USA)*</w:t>
            </w:r>
          </w:p>
        </w:tc>
        <w:tc>
          <w:tcPr>
            <w:tcW w:w="4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2"/>
                <w:szCs w:val="22"/>
                <w:color w:val="auto"/>
              </w:rPr>
              <w:t>Precision ERV cancer</w:t>
            </w: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Preclinical Proof-of-Concept obtained</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H2</w:t>
            </w:r>
          </w:p>
        </w:tc>
        <w:tc>
          <w:tcPr>
            <w:tcW w:w="38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161"/>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vaccines</w:t>
            </w:r>
          </w:p>
        </w:tc>
        <w:tc>
          <w:tcPr>
            <w:tcW w:w="4740" w:type="dxa"/>
            <w:vAlign w:val="bottom"/>
            <w:tcBorders>
              <w:right w:val="single" w:sz="8" w:color="auto"/>
            </w:tcBorders>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474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474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Ambition for full year 2024 is to generate business</w:t>
            </w:r>
          </w:p>
        </w:tc>
        <w:tc>
          <w:tcPr>
            <w:tcW w:w="42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Funding</w:t>
            </w:r>
          </w:p>
        </w:tc>
        <w:tc>
          <w:tcPr>
            <w:tcW w:w="47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development income or cash in equal to 2024 cash</w:t>
            </w:r>
          </w:p>
        </w:tc>
        <w:tc>
          <w:tcPr>
            <w:tcW w:w="4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260" w:type="dxa"/>
            <w:vAlign w:val="bottom"/>
            <w:tcBorders>
              <w:left w:val="single" w:sz="8" w:color="auto"/>
              <w:right w:val="single" w:sz="8" w:color="auto"/>
            </w:tcBorders>
            <w:vMerge w:val="continue"/>
          </w:tcPr>
          <w:p>
            <w:pPr>
              <w:spacing w:after="0"/>
              <w:rPr>
                <w:sz w:val="13"/>
                <w:szCs w:val="13"/>
                <w:color w:val="auto"/>
              </w:rPr>
            </w:pPr>
          </w:p>
        </w:tc>
        <w:tc>
          <w:tcPr>
            <w:tcW w:w="4740" w:type="dxa"/>
            <w:vAlign w:val="bottom"/>
            <w:tcBorders>
              <w:right w:val="single" w:sz="8" w:color="auto"/>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burn (excluding financing activities) of $14</w:t>
            </w:r>
          </w:p>
        </w:tc>
        <w:tc>
          <w:tcPr>
            <w:tcW w:w="420" w:type="dxa"/>
            <w:vAlign w:val="bottom"/>
          </w:tcPr>
          <w:p>
            <w:pPr>
              <w:spacing w:after="0"/>
              <w:rPr>
                <w:sz w:val="13"/>
                <w:szCs w:val="13"/>
                <w:color w:val="auto"/>
              </w:rPr>
            </w:pPr>
          </w:p>
        </w:tc>
        <w:tc>
          <w:tcPr>
            <w:tcW w:w="3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tcPr>
          <w:p>
            <w:pPr>
              <w:spacing w:after="0"/>
              <w:rPr>
                <w:sz w:val="7"/>
                <w:szCs w:val="7"/>
                <w:color w:val="auto"/>
              </w:rPr>
            </w:pPr>
          </w:p>
        </w:tc>
        <w:tc>
          <w:tcPr>
            <w:tcW w:w="474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million**</w:t>
            </w:r>
          </w:p>
        </w:tc>
        <w:tc>
          <w:tcPr>
            <w:tcW w:w="4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500" w:firstLine="8"/>
        <w:spacing w:after="0" w:line="258"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MSD option and license agreement on EVX-B2 and EVX-B3 supersedes this milestone ** See update on the business development income ambition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&amp; Development update</w:t>
      </w:r>
    </w:p>
    <w:p>
      <w:pPr>
        <w:spacing w:after="0" w:line="21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We maintain a high activity level in Research &amp; Development (R&amp;D) from both a preclinical and clinical perspective. This work yielded outstanding results in the third quarter, first and foremost with the presentation of encouraging one-year data from the ongoing phase 2 trial with our lead asset EVX-01, an AI-Immunology™ designed personalized cancer vaccine, in patients with advanced melanoma (skin cancer).</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The data demonstrates 69% Overall Response Rate, reduction in tumor target lesions in 15 out of 16 patients, an immunogenicity rate of 79%, and a positive correlation between our AI-Immunology™ platform predictions and immune responses induced by the individual neoantigens in the EVX-01 vaccine (p=0.00013). The observed immunogenicity rate means that 79% of EVX-01’s vaccine targets triggered a targeted immune response, which compares very favorably to what is seen with other approaches.</w:t>
      </w:r>
    </w:p>
    <w:p>
      <w:pPr>
        <w:spacing w:after="0" w:line="162"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These clinical findings underscore the significant therapeutic potential of EVX-01 and are yet another validation of the AI-Immunology™ platform as a leading AI technology for fast and effective vaccine target discovery and design.</w:t>
      </w:r>
    </w:p>
    <w:p>
      <w:pPr>
        <w:sectPr>
          <w:pgSz w:w="11900" w:h="16838" w:orient="portrait"/>
          <w:cols w:equalWidth="0" w:num="1">
            <w:col w:w="11240"/>
          </w:cols>
          <w:pgMar w:left="320" w:top="108" w:right="339" w:bottom="0" w:gutter="0" w:footer="0" w:header="0"/>
        </w:sectPr>
      </w:pPr>
    </w:p>
    <w:bookmarkStart w:id="4" w:name="page5"/>
    <w:bookmarkEnd w:id="4"/>
    <w:p>
      <w:pPr>
        <w:jc w:val="both"/>
        <w:ind w:right="160"/>
        <w:spacing w:after="0" w:line="255" w:lineRule="auto"/>
        <w:rPr>
          <w:sz w:val="20"/>
          <w:szCs w:val="20"/>
          <w:color w:val="auto"/>
        </w:rPr>
      </w:pPr>
      <w:r>
        <w:rPr>
          <w:rFonts w:ascii="Times New Roman" w:cs="Times New Roman" w:eastAsia="Times New Roman" w:hAnsi="Times New Roman"/>
          <w:sz w:val="21"/>
          <w:szCs w:val="21"/>
          <w:color w:val="auto"/>
        </w:rPr>
        <w:t>We were also successful in our preclinical research, obtaining Proof-of-Concept for novel mRNA Gonorrhea vaccine candidate EVX-B2. This was based on new data documenting that EVX-B2 mRNA triggers a targeted immune response that leads to the elimination of the gonorrhea bacteria. The same had earlier been shown for the protein-based version of EVX-B2, which is now part of our partnership with MSD. The mRNA data has been generated as part of our partnership with Afrigen Biologics.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Further to our pipeline, our R&amp;D investments are also allocated to the continued improvement of our AI-Immunology™ platform. During the third quarter, we updated the platform with the launch of a new version of its EDEN™ AI prediction model. Among other improvements, the model can now predict toxin antigens, allowing for the development of improved bacterial vaccines. We expect this update to further solidify the strong interest seen in AI-Immunology™ from potential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development income</w:t>
      </w:r>
    </w:p>
    <w:p>
      <w:pPr>
        <w:spacing w:after="0" w:line="21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Our strategy is based upon a multi-partner approach, making effective execution upon our business development plans crucial to our success. We were thrilled to sign the significantly expanded vaccine development collaboration with MSD during the third quarter. Further, we continue to see an increasing interest from potential partners and are excited by the current partnership opportunities both around existing pipeline assets as well as our AI-Immunology™ platform.</w:t>
      </w:r>
    </w:p>
    <w:p>
      <w:pPr>
        <w:spacing w:after="0" w:line="18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agreement with MSD carries potential business development income of up to $10 million for 2025 on top of the $3.2 million upfront payment received in 2024. Based upon the current business development opportunities, we remain confident in our ability to execute upon our multi-partner strategy and bring in significant business development income.</w:t>
      </w:r>
    </w:p>
    <w:p>
      <w:pPr>
        <w:spacing w:after="0" w:line="17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Given that certain partnership discussions will be moving into 2025, we will - despite the strong interest - not be able to meet our 2024 ambition of generating business development income or cash in of $14 million. The discussions, having moved into 2025, will however support the generation of business development income for next year in addition to the potential up to $10 million from MSD.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Nasdaq dialogue</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As communicated earlier, on May 7, 2024, we received a deficiency letter from Nasdaq Stock Market LLC (“Nasdaq”) for failure to maintain stockholders’ equity of at least $2.5 million, following which we presented a plan to Nasdaq to regain compliance. Nasdaq provided us until November 4, 2024, to evidence compliance based upon the plan submitted.</w:t>
      </w:r>
    </w:p>
    <w:p>
      <w:pPr>
        <w:spacing w:after="0" w:line="17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We remain committed to ensuring compliance with the Nasdaq minimum stockholder’s equity requirement and maintain our Nasdaq listing. This is to be pursued through increasing shareholder’s equity via a combination of business development income and capital markets activities. However, current equity market environment, the geopolitical uncertainties and timing of business development activities have to date impacted timing for the full required increase in shareholder’s equity.</w:t>
      </w:r>
    </w:p>
    <w:p>
      <w:pPr>
        <w:spacing w:after="0" w:line="180"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We do not expect to have regained compliance by November 4, 2024, and therefore expect Nasdaq to send us a delisting notification after such date. We then plan to appeal the delisting determination and request a hearing on the matter, following which a new 180-day extension could be granted based on our plan to regain compliance.</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We are in constructive dialogue with Nasdaq around this process, though we will not receive any guarantee that another 180-day extension will be granted before the anticipated hearing.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2024 financial results</w:t>
      </w:r>
    </w:p>
    <w:p>
      <w:pPr>
        <w:spacing w:after="0" w:line="210"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22"/>
          <w:szCs w:val="22"/>
          <w:color w:val="auto"/>
        </w:rPr>
        <w:t>Cash position as of September 30, 2024, was $4.6 million, as compared to $5.6 million as of December 31, 2023. The cash position as of September 30, excludes the $3.2 million upfront from the MSD agreement which was received in October. The Company expects that its existing cash and cash equivalents will be sufficient to fund its operating expenses and capital expenditure requirements into March 2025.</w:t>
      </w:r>
    </w:p>
    <w:p>
      <w:pPr>
        <w:spacing w:after="0" w:line="180"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Revenue of $3.0 million was recognized for the quarter ending September 30, 2024, as compared to nil for the quarter ending September 30, 2023. A minor proportion of this revenue derives from the existing EVX-B3 collaboration with MSD, while the majority relates to the newly signed option and license agreement with MSD.</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Research and Development expenses were $2.6 million for the quarter ending September 30, 2024, as compared to $2.8 million for the quarter ending September 30, 2023. The decrease is primarily related to a reduced headcount.</w:t>
      </w:r>
    </w:p>
    <w:p>
      <w:pPr>
        <w:spacing w:after="0" w:line="15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General and Administrative expenses were $2.1 million for the quarter ending September 30, 2024, as compared to $2.9 million for the quarter ending September 30, 2023. The decrease was primarily due to a decrease in expenses to management remuneration following changes to executive management in 2023 and expenses related to this. In addition, various minor cost reductions related to overhead and professional fees are realized.</w:t>
      </w:r>
    </w:p>
    <w:p>
      <w:pPr>
        <w:spacing w:after="0" w:line="180"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We generated a net loss of $1.9 million for the quarter ending September 30, 2024, or $(0.04) per basic and diluted share, as compared to a net loss of $5.7 million, or $(0.21) per basic and diluted share for the quarter ending September 30, 2023. The decreased loss was primarily driven by the recognized revenue and reduced general &amp; administrative expenses.</w:t>
      </w:r>
    </w:p>
    <w:p>
      <w:pPr>
        <w:spacing w:after="0" w:line="17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Total equity amounts to $0.1 million as of September 30, 2024. Proceeds from the exercise of prefunded warrants amounted to $0.2 million for the quarter.</w:t>
      </w:r>
    </w:p>
    <w:p>
      <w:pPr>
        <w:sectPr>
          <w:pgSz w:w="11900" w:h="16838" w:orient="portrait"/>
          <w:cols w:equalWidth="0" w:num="1">
            <w:col w:w="11220"/>
          </w:cols>
          <w:pgMar w:left="320" w:top="112" w:right="359" w:bottom="0" w:gutter="0" w:footer="0" w:header="0"/>
        </w:sectPr>
      </w:pPr>
    </w:p>
    <w:bookmarkStart w:id="5" w:name="page6"/>
    <w:bookmarkEnd w:id="5"/>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Financial Position Data (Unaudited)</w:t>
      </w:r>
    </w:p>
    <w:p>
      <w:pPr>
        <w:jc w:val="center"/>
        <w:spacing w:after="0"/>
        <w:rPr>
          <w:sz w:val="20"/>
          <w:szCs w:val="20"/>
          <w:color w:val="auto"/>
        </w:rPr>
      </w:pPr>
      <w:r>
        <w:rPr>
          <w:rFonts w:ascii="Times New Roman" w:cs="Times New Roman" w:eastAsia="Times New Roman" w:hAnsi="Times New Roman"/>
          <w:sz w:val="22"/>
          <w:szCs w:val="22"/>
          <w:color w:val="auto"/>
        </w:rPr>
        <w:t>(USD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2"/>
                <w:szCs w:val="22"/>
                <w:color w:val="auto"/>
              </w:rPr>
            </w:pPr>
          </w:p>
        </w:tc>
        <w:tc>
          <w:tcPr>
            <w:tcW w:w="3200" w:type="dxa"/>
            <w:vAlign w:val="bottom"/>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Sep 30,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Dec 31,</w:t>
            </w:r>
          </w:p>
        </w:tc>
      </w:tr>
      <w:tr>
        <w:trPr>
          <w:trHeight w:val="287"/>
        </w:trPr>
        <w:tc>
          <w:tcPr>
            <w:tcW w:w="67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2023</w:t>
            </w:r>
          </w:p>
        </w:tc>
      </w:tr>
      <w:tr>
        <w:trPr>
          <w:trHeight w:val="264"/>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4,576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5,583</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assets</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15,185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liabilities</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15,111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17,618</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Share capital</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8,732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5,899</w:t>
            </w:r>
          </w:p>
        </w:tc>
      </w:tr>
      <w:tr>
        <w:trPr>
          <w:trHeight w:val="264"/>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reserves</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106,245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99,946</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Accumulated deficit</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(114,903)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(107,860)</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equity before derivative warrant liability</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74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(2,015)</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Effect from derivative liabilities from investor warrants</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(2,714)</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equity</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74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(4,729)</w:t>
            </w:r>
          </w:p>
        </w:tc>
      </w:tr>
      <w:tr>
        <w:trPr>
          <w:trHeight w:val="26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3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15,185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Based on the Company’s current cash position with an expected cash runway into March 2025, income from Business Development deals and/or further funding is required to mitigate the conclusion that there is significant doubt about the Company’s ability to continue as a going concern. Please refer to the Form 20-F, filed March 27, 2024, for additional background on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Comprehensive Loss Data (Unaudited)</w:t>
      </w:r>
    </w:p>
    <w:p>
      <w:pPr>
        <w:jc w:val="center"/>
        <w:spacing w:after="0"/>
        <w:rPr>
          <w:sz w:val="20"/>
          <w:szCs w:val="20"/>
          <w:color w:val="auto"/>
        </w:rPr>
      </w:pPr>
      <w:r>
        <w:rPr>
          <w:rFonts w:ascii="Times New Roman" w:cs="Times New Roman" w:eastAsia="Times New Roman" w:hAnsi="Times New Roman"/>
          <w:sz w:val="22"/>
          <w:szCs w:val="22"/>
          <w:color w:val="auto"/>
        </w:rPr>
        <w:t>(USD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40" w:type="dxa"/>
            <w:vAlign w:val="bottom"/>
          </w:tcPr>
          <w:p>
            <w:pPr>
              <w:spacing w:after="0"/>
              <w:rPr>
                <w:sz w:val="21"/>
                <w:szCs w:val="21"/>
                <w:color w:val="auto"/>
              </w:rPr>
            </w:pPr>
          </w:p>
        </w:tc>
        <w:tc>
          <w:tcPr>
            <w:tcW w:w="334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86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3340" w:type="dxa"/>
            <w:vAlign w:val="bottom"/>
            <w:gridSpan w:val="2"/>
          </w:tcPr>
          <w:p>
            <w:pPr>
              <w:jc w:val="right"/>
              <w:ind w:right="117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87"/>
        </w:trPr>
        <w:tc>
          <w:tcPr>
            <w:tcW w:w="5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6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6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Revenue</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3,017</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3,222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(2,614)</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(2,830)</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(8,202)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(9,618)</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(2,134)</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(2,932)</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(5,728)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(8,215)</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(1,731)</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(5,762)</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(10,708)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(17,833)</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Finance income</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84</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72</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5,922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404</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Finance expenses</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(384)</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(182)</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(2,665)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(786)</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Net loss before tax</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(2,031)</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(5,872)</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(7,451)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(18,215)</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Income tax benefit</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96</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194</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513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613</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Net loss for the period</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(1,935)</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(5,678)</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(6,938)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(18,215)</w:t>
            </w:r>
          </w:p>
        </w:tc>
        <w:tc>
          <w:tcPr>
            <w:tcW w:w="0" w:type="dxa"/>
            <w:vAlign w:val="bottom"/>
          </w:tcPr>
          <w:p>
            <w:pPr>
              <w:spacing w:after="0"/>
              <w:rPr>
                <w:sz w:val="1"/>
                <w:szCs w:val="1"/>
                <w:color w:val="auto"/>
              </w:rPr>
            </w:pPr>
          </w:p>
        </w:tc>
      </w:tr>
      <w:tr>
        <w:trPr>
          <w:trHeight w:val="219"/>
        </w:trPr>
        <w:tc>
          <w:tcPr>
            <w:tcW w:w="5040" w:type="dxa"/>
            <w:vAlign w:val="bottom"/>
          </w:tcPr>
          <w:p>
            <w:pPr>
              <w:ind w:left="280"/>
              <w:spacing w:after="0" w:line="219" w:lineRule="exact"/>
              <w:rPr>
                <w:sz w:val="20"/>
                <w:szCs w:val="20"/>
                <w:color w:val="auto"/>
              </w:rPr>
            </w:pPr>
            <w:r>
              <w:rPr>
                <w:rFonts w:ascii="Times New Roman" w:cs="Times New Roman" w:eastAsia="Times New Roman" w:hAnsi="Times New Roman"/>
                <w:sz w:val="22"/>
                <w:szCs w:val="22"/>
                <w:b w:val="1"/>
                <w:bCs w:val="1"/>
                <w:color w:val="auto"/>
              </w:rPr>
              <w:t>Net loss attributable to shareholders of Evaxion</w:t>
            </w:r>
          </w:p>
        </w:tc>
        <w:tc>
          <w:tcPr>
            <w:tcW w:w="168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(1,935)</w:t>
            </w:r>
          </w:p>
        </w:tc>
        <w:tc>
          <w:tcPr>
            <w:tcW w:w="16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(5,678)</w:t>
            </w:r>
          </w:p>
        </w:tc>
        <w:tc>
          <w:tcPr>
            <w:tcW w:w="16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(6,938)</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(18,215)</w:t>
            </w:r>
          </w:p>
        </w:tc>
        <w:tc>
          <w:tcPr>
            <w:tcW w:w="0" w:type="dxa"/>
            <w:vAlign w:val="bottom"/>
          </w:tcPr>
          <w:p>
            <w:pPr>
              <w:spacing w:after="0"/>
              <w:rPr>
                <w:sz w:val="1"/>
                <w:szCs w:val="1"/>
                <w:color w:val="auto"/>
              </w:rPr>
            </w:pPr>
          </w:p>
        </w:tc>
      </w:tr>
      <w:tr>
        <w:trPr>
          <w:trHeight w:val="165"/>
        </w:trPr>
        <w:tc>
          <w:tcPr>
            <w:tcW w:w="50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Biotech A/S</w:t>
            </w:r>
          </w:p>
        </w:tc>
        <w:tc>
          <w:tcPr>
            <w:tcW w:w="16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040" w:type="dxa"/>
            <w:vAlign w:val="bottom"/>
            <w:tcBorders>
              <w:bottom w:val="single" w:sz="8" w:color="auto"/>
            </w:tcBorders>
            <w:vMerge w:val="continue"/>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1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(0.04)</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(0.21)</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(0.13)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(0.66)</w:t>
            </w:r>
          </w:p>
        </w:tc>
        <w:tc>
          <w:tcPr>
            <w:tcW w:w="0" w:type="dxa"/>
            <w:vAlign w:val="bottom"/>
          </w:tcPr>
          <w:p>
            <w:pPr>
              <w:spacing w:after="0"/>
              <w:rPr>
                <w:sz w:val="1"/>
                <w:szCs w:val="1"/>
                <w:color w:val="auto"/>
              </w:rPr>
            </w:pPr>
          </w:p>
        </w:tc>
      </w:tr>
      <w:tr>
        <w:trPr>
          <w:trHeight w:val="223"/>
        </w:trPr>
        <w:tc>
          <w:tcPr>
            <w:tcW w:w="5040" w:type="dxa"/>
            <w:vAlign w:val="bottom"/>
          </w:tcPr>
          <w:p>
            <w:pPr>
              <w:ind w:left="280"/>
              <w:spacing w:after="0" w:line="223" w:lineRule="exact"/>
              <w:rPr>
                <w:sz w:val="20"/>
                <w:szCs w:val="20"/>
                <w:color w:val="auto"/>
              </w:rPr>
            </w:pPr>
            <w:r>
              <w:rPr>
                <w:rFonts w:ascii="Times New Roman" w:cs="Times New Roman" w:eastAsia="Times New Roman" w:hAnsi="Times New Roman"/>
                <w:sz w:val="22"/>
                <w:szCs w:val="22"/>
                <w:color w:val="auto"/>
              </w:rPr>
              <w:t>Number of shares used for calculation (basic and</w:t>
            </w:r>
          </w:p>
        </w:tc>
        <w:tc>
          <w:tcPr>
            <w:tcW w:w="168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55,255,329</w:t>
            </w:r>
          </w:p>
        </w:tc>
        <w:tc>
          <w:tcPr>
            <w:tcW w:w="16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27,659,878</w:t>
            </w:r>
          </w:p>
        </w:tc>
        <w:tc>
          <w:tcPr>
            <w:tcW w:w="16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51,905,948</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26,754,440</w:t>
            </w:r>
          </w:p>
        </w:tc>
        <w:tc>
          <w:tcPr>
            <w:tcW w:w="0" w:type="dxa"/>
            <w:vAlign w:val="bottom"/>
          </w:tcPr>
          <w:p>
            <w:pPr>
              <w:spacing w:after="0"/>
              <w:rPr>
                <w:sz w:val="1"/>
                <w:szCs w:val="1"/>
                <w:color w:val="auto"/>
              </w:rPr>
            </w:pPr>
          </w:p>
        </w:tc>
      </w:tr>
      <w:tr>
        <w:trPr>
          <w:trHeight w:val="161"/>
        </w:trPr>
        <w:tc>
          <w:tcPr>
            <w:tcW w:w="50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diluted)</w:t>
            </w:r>
          </w:p>
        </w:tc>
        <w:tc>
          <w:tcPr>
            <w:tcW w:w="16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40" w:type="dxa"/>
            <w:vAlign w:val="bottom"/>
            <w:tcBorders>
              <w:bottom w:val="single" w:sz="8" w:color="auto"/>
            </w:tcBorders>
            <w:vMerge w:val="continue"/>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Mads Kronborg</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1" w:lineRule="auto"/>
        <w:rPr>
          <w:sz w:val="20"/>
          <w:szCs w:val="20"/>
          <w:color w:val="auto"/>
        </w:rPr>
      </w:pPr>
      <w:r>
        <w:rPr>
          <w:rFonts w:ascii="Times New Roman" w:cs="Times New Roman" w:eastAsia="Times New Roman" w:hAnsi="Times New Roman"/>
          <w:sz w:val="22"/>
          <w:szCs w:val="22"/>
          <w:color w:val="auto"/>
        </w:rPr>
        <w:t>+45 53 54 82 96</w:t>
      </w:r>
    </w:p>
    <w:p>
      <w:pPr>
        <w:spacing w:after="0"/>
        <w:rPr>
          <w:sz w:val="20"/>
          <w:szCs w:val="20"/>
          <w:color w:val="auto"/>
        </w:rPr>
      </w:pPr>
      <w:r>
        <w:rPr>
          <w:rFonts w:ascii="Times New Roman" w:cs="Times New Roman" w:eastAsia="Times New Roman" w:hAnsi="Times New Roman"/>
          <w:sz w:val="22"/>
          <w:szCs w:val="22"/>
          <w:color w:val="auto"/>
        </w:rPr>
        <w:t>mak@evaxion-biotech.com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2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1"/>
          <w:szCs w:val="21"/>
          <w:color w:val="auto"/>
        </w:rPr>
        <w:t>Evaxion Biotech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w:t>
      </w:r>
    </w:p>
    <w:p>
      <w:pPr>
        <w:sectPr>
          <w:pgSz w:w="11900" w:h="16841" w:orient="portrait"/>
          <w:cols w:equalWidth="0" w:num="1">
            <w:col w:w="11240"/>
          </w:cols>
          <w:pgMar w:left="320" w:top="571" w:right="339" w:bottom="0" w:gutter="0" w:footer="0" w:header="0"/>
        </w:sectPr>
      </w:pPr>
    </w:p>
    <w:bookmarkStart w:id="6" w:name="page7"/>
    <w:bookmarkEnd w:id="6"/>
    <w:p>
      <w:pPr>
        <w:ind w:right="340"/>
        <w:spacing w:after="0"/>
        <w:rPr>
          <w:sz w:val="20"/>
          <w:szCs w:val="20"/>
          <w:color w:val="auto"/>
        </w:rPr>
      </w:pPr>
      <w:r>
        <w:rPr>
          <w:rFonts w:ascii="Times New Roman" w:cs="Times New Roman" w:eastAsia="Times New Roman" w:hAnsi="Times New Roman"/>
          <w:sz w:val="22"/>
          <w:szCs w:val="22"/>
          <w:color w:val="auto"/>
        </w:rPr>
        <w:t>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visit our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ongoing COVID-19 pandemic and the ongoing conflict in the region surrounding Ukraine and Russia and the Middle East;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1"/>
          <w:szCs w:val="21"/>
          <w:b w:val="1"/>
          <w:bCs w:val="1"/>
          <w:color w:val="auto"/>
        </w:rPr>
        <w:t>www.sec.gov</w:t>
      </w:r>
      <w:r>
        <w:rPr>
          <w:rFonts w:ascii="Times New Roman" w:cs="Times New Roman" w:eastAsia="Times New Roman" w:hAnsi="Times New Roman"/>
          <w:sz w:val="21"/>
          <w:szCs w:val="21"/>
          <w:color w:val="auto"/>
        </w:rPr>
        <w:t>. We do not assume any obligation to update any forward-looking statements except as required by law.</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2024-10-31T09:26:54Z</dcterms:created>
  <dcterms:modified xsi:type="dcterms:W3CDTF">2024-10-31T09:26:54Z</dcterms:modified>
</cp:coreProperties>
</file>