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For the month of June 2026</w:t>
      </w:r>
    </w:p>
    <w:p>
      <w:pPr>
        <w:spacing w:after="0" w:line="20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001-39950</w:t>
      </w:r>
    </w:p>
    <w:p>
      <w:pPr>
        <w:spacing w:after="0" w:line="20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b w:val="1"/>
          <w:bCs w:val="1"/>
          <w:color w:val="auto"/>
        </w:rPr>
        <w:t>Evaxion A/S</w:t>
      </w:r>
    </w:p>
    <w:p>
      <w:pPr>
        <w:spacing w:after="0" w:line="18"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78"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Dr. Neergaards Vej 5f</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DK-2970 Hoersholm</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Denmark</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left="3880" w:right="820" w:hanging="4112"/>
        <w:spacing w:after="0" w:line="463"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-148590</wp:posOffset>
            </wp:positionH>
            <wp:positionV relativeFrom="paragraph">
              <wp:posOffset>-20955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80"/>
          </w:cols>
          <w:pgMar w:left="560" w:top="543" w:right="559" w:bottom="1440" w:gutter="0" w:footer="0" w:header="0"/>
        </w:sectPr>
      </w:pPr>
    </w:p>
    <w:bookmarkStart w:id="1" w:name="page2"/>
    <w:bookmarkEnd w:id="1"/>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INCORPORATION BY REFERENCE</w:t>
      </w:r>
    </w:p>
    <w:p>
      <w:pPr>
        <w:spacing w:after="0" w:line="21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This report on Form 6-K shall be deemed to be incorporated by reference in Evaxion A/S’s registration statements on Form S-8 (File No. 333-255064), on Form F-3 (File No. 333-265132), on Form F-1, as amended (File No. 333-266050), Form F-1 (File No. 333-276505), Form F-1 (File No. 333-279153), Form F-1 (File No. 333-283304), and Form F-3 (File No. 333- 285778), including any prospectuses forming a part of such registration statements and to be a part thereof from the date on which this report is filed, to the extent not superseded by documents or reports subsequently filed or furnished.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Press Release</w:t>
      </w:r>
    </w:p>
    <w:p>
      <w:pPr>
        <w:spacing w:after="0" w:line="210"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 June 11, 2026, Evaxion A/S (the “Company”), a clinical-stage TechBio company specializing in developing AI-Immunology™ powered vaccines, issued a press release titled "Evaxion presents new preclinical data for EVX-04, an off-the-shelf therapeutic vaccine for acute myeloid leukemia". A copy of the press release is furnished as Exhibit 99.1 to this report on Form 6-K.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Exhibits</w:t>
      </w:r>
    </w:p>
    <w:p>
      <w:pPr>
        <w:spacing w:after="0" w:line="21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u w:val="single" w:color="auto"/>
          <w:color w:val="auto"/>
        </w:rPr>
        <w:t>Exhibit No.</w:t>
        <w:tab/>
        <w:t>Description</w:t>
      </w:r>
    </w:p>
    <w:p>
      <w:pPr>
        <w:spacing w:after="0" w:line="22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Evaxion presents new preclinical data for EVX-04, an off-the-shelf therapeutic vaccine for acute myeloid leukemia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20"/>
          </w:cols>
          <w:pgMar w:left="320" w:top="324" w:right="55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Evaxion A/S</w:t>
            </w:r>
          </w:p>
        </w:tc>
        <w:tc>
          <w:tcPr>
            <w:tcW w:w="960" w:type="dxa"/>
            <w:vAlign w:val="bottom"/>
          </w:tcPr>
          <w:p>
            <w:pPr>
              <w:spacing w:after="0"/>
              <w:rPr>
                <w:sz w:val="17"/>
                <w:szCs w:val="17"/>
                <w:color w:val="auto"/>
              </w:rPr>
            </w:pPr>
          </w:p>
        </w:tc>
      </w:tr>
      <w:tr>
        <w:trPr>
          <w:trHeight w:val="237"/>
        </w:trPr>
        <w:tc>
          <w:tcPr>
            <w:tcW w:w="37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608"/>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June 11, 2026</w:t>
            </w:r>
          </w:p>
        </w:tc>
        <w:tc>
          <w:tcPr>
            <w:tcW w:w="29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By:</w:t>
            </w:r>
          </w:p>
        </w:tc>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Helen Tayton-Martin</w:t>
            </w:r>
          </w:p>
        </w:tc>
      </w:tr>
      <w:tr>
        <w:trPr>
          <w:trHeight w:val="218"/>
        </w:trPr>
        <w:tc>
          <w:tcPr>
            <w:tcW w:w="37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Helen Tayton-Martin</w:t>
            </w:r>
          </w:p>
        </w:tc>
      </w:tr>
      <w:tr>
        <w:trPr>
          <w:trHeight w:val="234"/>
        </w:trPr>
        <w:tc>
          <w:tcPr>
            <w:tcW w:w="37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160"/>
          </w:cols>
          <w:pgMar w:left="320" w:top="324" w:right="4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b w:val="1"/>
          <w:bCs w:val="1"/>
          <w:color w:val="auto"/>
        </w:rPr>
        <w:t>Evaxion presents new preclinical data for EVX-04, an off-the-shelf therapeutic vaccine for acute myeloid leukemia</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EVX-04 is successfully expressed and secreted in human cells enabling immune recognition and activation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-92710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Times New Roman" w:cs="Times New Roman" w:eastAsia="Times New Roman" w:hAnsi="Times New Roman"/>
          <w:sz w:val="22"/>
          <w:szCs w:val="22"/>
          <w:b w:val="1"/>
          <w:bCs w:val="1"/>
          <w:color w:val="auto"/>
        </w:rPr>
        <w:t>The vaccine antigens drive specific immune responses across different human immune profiles and induce targeted cell-killing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7" w:lineRule="auto"/>
        <w:rPr>
          <w:sz w:val="20"/>
          <w:szCs w:val="20"/>
          <w:color w:val="auto"/>
        </w:rPr>
      </w:pPr>
      <w:r>
        <w:rPr>
          <w:rFonts w:ascii="Times New Roman" w:cs="Times New Roman" w:eastAsia="Times New Roman" w:hAnsi="Times New Roman"/>
          <w:sz w:val="22"/>
          <w:szCs w:val="22"/>
          <w:b w:val="1"/>
          <w:bCs w:val="1"/>
          <w:color w:val="auto"/>
        </w:rPr>
        <w:t>Poster presentation at the European Hematology Association (EHA) 2026 Congress, taking place in Stockholm, Sweden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COPENHAGEN, Denmark, June 11, 2026 - Evaxion A/S (NASDAQ: EVAX) (“Evaxion”), a clinical-stage TechBio company developing novel vaccines with its pioneering AI-Immunology™ platform, announces new preclinical data for EVX-04, an off-the-shelf therapeutic vaccine for acute myeloid leukemia (AML). Developed with AI-Immunology™, EVX-04 targets multiple non-conventional endogenous retrovirus (ERV) tumor antigens from the dark genome.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new data demonstrates EVX-04’s complete expression in human cells, including correct transcription and translation.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Further, EVX-04 is secreted in human cells, enabling immune recognition and activation.</w:t>
      </w:r>
    </w:p>
    <w:p>
      <w:pPr>
        <w:spacing w:after="0" w:line="178"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2"/>
          <w:szCs w:val="22"/>
          <w:color w:val="auto"/>
        </w:rPr>
        <w:t>The data also shows that all ERV antigens included in EVX-04 drive specific immune responses both in mice (</w:t>
      </w:r>
      <w:r>
        <w:rPr>
          <w:rFonts w:ascii="Times New Roman" w:cs="Times New Roman" w:eastAsia="Times New Roman" w:hAnsi="Times New Roman"/>
          <w:sz w:val="22"/>
          <w:szCs w:val="22"/>
          <w:i w:val="1"/>
          <w:iCs w:val="1"/>
          <w:color w:val="auto"/>
        </w:rPr>
        <w:t>in vivo)</w:t>
      </w:r>
      <w:r>
        <w:rPr>
          <w:rFonts w:ascii="Times New Roman" w:cs="Times New Roman" w:eastAsia="Times New Roman" w:hAnsi="Times New Roman"/>
          <w:sz w:val="22"/>
          <w:szCs w:val="22"/>
          <w:color w:val="auto"/>
        </w:rPr>
        <w:t xml:space="preserve"> and human cells (</w:t>
      </w:r>
      <w:r>
        <w:rPr>
          <w:rFonts w:ascii="Times New Roman" w:cs="Times New Roman" w:eastAsia="Times New Roman" w:hAnsi="Times New Roman"/>
          <w:sz w:val="22"/>
          <w:szCs w:val="22"/>
          <w:i w:val="1"/>
          <w:iCs w:val="1"/>
          <w:color w:val="auto"/>
        </w:rPr>
        <w:t>in vitro</w:t>
      </w:r>
      <w:r>
        <w:rPr>
          <w:rFonts w:ascii="Times New Roman" w:cs="Times New Roman" w:eastAsia="Times New Roman" w:hAnsi="Times New Roman"/>
          <w:sz w:val="22"/>
          <w:szCs w:val="22"/>
          <w:color w:val="auto"/>
        </w:rPr>
        <w:t>) across different human immune profiles. These vaccine-induced immune cells mediate targeted cell-killing, highlighting EVX-04’s potential as a new effective therapeutic cancer vaccine.</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Data will be presented at a poster presentation at the European Hematology Association (EHA) 2026 Congress taking place in Stockholm, Sweden, on June 13, 2026.</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“We are excited to share the new data on EVX-04, which could potentially greatly improve treatment options for AML patients. We are successfully executing the preclinical activities and in parallel preparing the regulatory filing for clinical testing and are looking forward to discussing the data and the program at the EHA congress,” says Birgitte Rønø, CSO &amp; COO of Evaxion.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EVX-04</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Developed with our AI-Immunology™ platform, EVX-04 targets non-conventional endogenous retrovirus (ERV) tumor antigens from the dark genome. These antigens are selectively expressed in specific tumors but absent in normal tissue, making them highly attractive therapeutic cancer targets.</w:t>
      </w:r>
    </w:p>
    <w:p>
      <w:pPr>
        <w:spacing w:after="0" w:line="17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Using sequencing data from AML patients, our AI-Immunology™ platform first identified ERV tumor antigens and then mined these to determine smaller fragments with the potential for immune recognition. From the five million ERV antigen fragments discovered, AI-Immunology™ combined and selected 16 optimal sets of ERV fragments based on their cross-patient relevance and immunogenic potential. All 16 ERV fragments included in EVX-04 elicit a specific immune response and EVX-04 prevents tumor growth in preclinical tumor models.</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data-driven target selection ensures that EVX-04 provides broad tumor coverage regardless of immune and tumor ERV antigen differences across patients. Thus, EVX-04 is developed as an off-the-shelf vaccine pre-produced and ready for immediate administration after diagnosis. The same concept is broadly applicable across cancers where immunotherapies remain inadequate and conserved immunogenic antigens can be identified.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AML</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AML is an aggressive hematologic malignancy characterized by clonal expansion of undifferentiated myeloid precursor cells (AML blasts) in the bone marrow. It has poor outcomes for patients ineligible for intensive chemotherapy or stem cell transplantation, highlighting the need for novel and less toxic treatment strategies.</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AML is the most frequent leukemia, occurring across all age groups, however, predominantly observed in older adults (median age at diagnosis of 68 years).</w:t>
      </w:r>
    </w:p>
    <w:p>
      <w:pPr>
        <w:spacing w:after="0" w:line="158" w:lineRule="exact"/>
        <w:rPr>
          <w:sz w:val="20"/>
          <w:szCs w:val="20"/>
          <w:color w:val="auto"/>
        </w:rPr>
      </w:pPr>
    </w:p>
    <w:p>
      <w:pPr>
        <w:jc w:val="both"/>
        <w:spacing w:after="0" w:line="261" w:lineRule="exact"/>
        <w:rPr>
          <w:sz w:val="20"/>
          <w:szCs w:val="20"/>
          <w:color w:val="auto"/>
        </w:rPr>
      </w:pPr>
      <w:r>
        <w:rPr>
          <w:rFonts w:ascii="Times New Roman" w:cs="Times New Roman" w:eastAsia="Times New Roman" w:hAnsi="Times New Roman"/>
          <w:sz w:val="22"/>
          <w:szCs w:val="22"/>
          <w:color w:val="auto"/>
        </w:rPr>
        <w:t>Approximately 50% of patients, typically the elderly, are not fit for intensive treatment, so the standard of care is low-intensity chemotherapy. Remissions are, however, short lived with a 3</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year overall survival rate at only 25% reported (Kantarjian et al. 2025).</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 information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Evaxion A/S</w:t>
      </w:r>
    </w:p>
    <w:p>
      <w:pPr>
        <w:spacing w:after="0" w:line="230" w:lineRule="auto"/>
        <w:rPr>
          <w:sz w:val="20"/>
          <w:szCs w:val="20"/>
          <w:color w:val="auto"/>
        </w:rPr>
      </w:pPr>
      <w:r>
        <w:rPr>
          <w:rFonts w:ascii="Times New Roman" w:cs="Times New Roman" w:eastAsia="Times New Roman" w:hAnsi="Times New Roman"/>
          <w:sz w:val="22"/>
          <w:szCs w:val="22"/>
          <w:color w:val="auto"/>
        </w:rPr>
        <w:t>Mads Kronborg</w:t>
      </w:r>
    </w:p>
    <w:p>
      <w:pPr>
        <w:spacing w:after="0" w:line="231" w:lineRule="auto"/>
        <w:rPr>
          <w:sz w:val="20"/>
          <w:szCs w:val="20"/>
          <w:color w:val="auto"/>
        </w:rPr>
      </w:pPr>
      <w:r>
        <w:rPr>
          <w:rFonts w:ascii="Times New Roman" w:cs="Times New Roman" w:eastAsia="Times New Roman" w:hAnsi="Times New Roman"/>
          <w:sz w:val="22"/>
          <w:szCs w:val="22"/>
          <w:color w:val="auto"/>
        </w:rPr>
        <w:t>Vice President, Investor Relations &amp; Communication</w:t>
      </w:r>
    </w:p>
    <w:p>
      <w:pPr>
        <w:spacing w:after="0" w:line="230" w:lineRule="auto"/>
        <w:rPr>
          <w:sz w:val="20"/>
          <w:szCs w:val="20"/>
          <w:color w:val="auto"/>
        </w:rPr>
      </w:pPr>
      <w:r>
        <w:rPr>
          <w:rFonts w:ascii="Times New Roman" w:cs="Times New Roman" w:eastAsia="Times New Roman" w:hAnsi="Times New Roman"/>
          <w:sz w:val="22"/>
          <w:szCs w:val="22"/>
          <w:color w:val="auto"/>
        </w:rPr>
        <w:t>+45 53 54 82 96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mak@evaxion.ai</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Evaxion</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Evaxion is a pioneering TechBio company based upon its proprietary, clinically validated and scalable AI platform, AI-Immunology™. The platform harnesses the power of artificial intelligence to decode the human immune system and develop novel vaccine candidates for cancer and infectious diseases.</w:t>
      </w:r>
    </w:p>
    <w:p>
      <w:pPr>
        <w:sectPr>
          <w:pgSz w:w="11900" w:h="16838" w:orient="portrait"/>
          <w:cols w:equalWidth="0" w:num="1">
            <w:col w:w="11240"/>
          </w:cols>
          <w:pgMar w:left="320" w:top="108" w:right="339" w:bottom="0" w:gutter="0" w:footer="0" w:header="0"/>
        </w:sectPr>
      </w:pPr>
    </w:p>
    <w:bookmarkStart w:id="4" w:name="page5"/>
    <w:bookmarkEnd w:id="4"/>
    <w:p>
      <w:pPr>
        <w:jc w:val="both"/>
        <w:spacing w:after="0" w:line="259" w:lineRule="auto"/>
        <w:rPr>
          <w:sz w:val="20"/>
          <w:szCs w:val="20"/>
          <w:color w:val="auto"/>
        </w:rPr>
      </w:pPr>
      <w:r>
        <w:rPr>
          <w:rFonts w:ascii="Times New Roman" w:cs="Times New Roman" w:eastAsia="Times New Roman" w:hAnsi="Times New Roman"/>
          <w:sz w:val="22"/>
          <w:szCs w:val="22"/>
          <w:color w:val="auto"/>
        </w:rPr>
        <w:t>With AI-Immunology™ we conduct rapid, efficient and high-quality target discovery, drug design and development. Our team of +40 experts covers the entire value chain from target discovery to clinical development.</w:t>
      </w:r>
    </w:p>
    <w:p>
      <w:pPr>
        <w:spacing w:after="0" w:line="15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have developed a clinical pipeline of both personalized and off-the-shelf cancer vaccine candidates as well as prophylactic vaccine candidates for infectious diseases. All our candidates address high unmet medical needs, reflecting our commitment to transforming patients’ lives by providing innovative and targeted treatment options.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more information about Evaxion, AI-Immunology™ and our pipeline, please visit our website.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w:t>
      </w:r>
    </w:p>
    <w:p>
      <w:pPr>
        <w:spacing w:after="0" w:line="1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 xml:space="preserve">This announcement contains forward-looking statements within the meaning of Section 27A of the Securities Act of 1933, as amended, and Section 21E of the Securities Exchange Act of 1934, as amended. The words “target,” “believe,” “expect,” “hope,” “aim,” “intend,” “may,” “might,” “anticipate,” “contemplate,” “continue,” “estimate,” “plan,” “potential,” “predict,” “project,” “will,” “can have,” “likely,” “should,” “would,” “could,” and other words and terms of similar meaning identify forward-looking statements. Actual results may differ materially from those indicated by such forward-looking statements as a result of various factors, including, but not limited to, risks related to: our financial condition and need for additional capital; our development work; cost and success of our product development activities and preclinical and clinical trials; commercializing any approved pharmaceutical product developed using our AI platform technology, including the rate and degree of market acceptance of our product candidates; our dependence on third parties including for conduct of clinical testing and product manufacture; our inability to enter into partnerships; government regulation; protection of our intellectual property rights; employee matters and managing growth; our ADSs and ordinary shares, the impact of international economic, political, legal, compliance, social and business factors, including inflation, and the effects on our business from other significant geopolitical and macro-economic events; and other uncertainties affecting our business operations and financial condition. For a further discussion of these risks, please refer to the risk factors included in our most recent Annual Report on Form 20-F and other filings with the US Securities and Exchange Commission (SEC), which are available at </w:t>
      </w:r>
      <w:r>
        <w:rPr>
          <w:rFonts w:ascii="Times New Roman" w:cs="Times New Roman" w:eastAsia="Times New Roman" w:hAnsi="Times New Roman"/>
          <w:sz w:val="22"/>
          <w:szCs w:val="22"/>
          <w:b w:val="1"/>
          <w:bCs w:val="1"/>
          <w:color w:val="auto"/>
        </w:rPr>
        <w:t>www.sec.gov</w:t>
      </w:r>
      <w:r>
        <w:rPr>
          <w:rFonts w:ascii="Times New Roman" w:cs="Times New Roman" w:eastAsia="Times New Roman" w:hAnsi="Times New Roman"/>
          <w:sz w:val="22"/>
          <w:szCs w:val="22"/>
          <w:color w:val="auto"/>
        </w:rPr>
        <w:t>. We do not assume any obligation to update any forward-looking statements except as required by law.</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2026-06-11T05:14:28Z</dcterms:created>
  <dcterms:modified xsi:type="dcterms:W3CDTF">2026-06-11T05:14:28Z</dcterms:modified>
</cp:coreProperties>
</file>