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sz w:val="32"/>
        </w:rPr>
      </w:pPr>
      <w:bookmarkStart w:id="0" w:name="f6k_090426.htm"/>
      <w:bookmarkStart w:id="1" w:name="ksf6k_090426"/>
      <w:bookmarkEnd w:id="0"/>
      <w:bookmarkEnd w:id="1"/>
      <w:r>
        <w:rPr>
          <w:b/>
          <w:sz w:val="32"/>
        </w:rPr>
        <w:t>UNITED STATES</w:t>
      </w:r>
    </w:p>
    <w:p>
      <w:pPr>
        <w:pStyle w:val="TextBody"/>
        <w:bidi w:val="0"/>
        <w:jc w:val="center"/>
        <w:rPr>
          <w:b/>
          <w:sz w:val="32"/>
        </w:rPr>
      </w:pPr>
      <w:r>
        <w:rPr>
          <w:b/>
          <w:sz w:val="32"/>
        </w:rPr>
        <w:t>SECURITIES AND EXCHANGE COMMISSION</w:t>
      </w:r>
    </w:p>
    <w:p>
      <w:pPr>
        <w:pStyle w:val="TextBody"/>
        <w:bidi w:val="0"/>
        <w:jc w:val="center"/>
        <w:rPr>
          <w:b/>
          <w:sz w:val="20"/>
        </w:rPr>
      </w:pPr>
      <w:r>
        <w:rPr>
          <w:b/>
          <w:sz w:val="20"/>
        </w:rPr>
        <w:t>Washington, D.C. 20549</w:t>
      </w:r>
    </w:p>
    <w:p>
      <w:pPr>
        <w:pStyle w:val="TextBody"/>
        <w:bidi w:val="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center"/>
        <w:rPr/>
      </w:pPr>
      <w:r>
        <w:rPr/>
        <w:t> </w:t>
      </w:r>
    </w:p>
    <w:p>
      <w:pPr>
        <w:pStyle w:val="TextBody"/>
        <w:bidi w:val="0"/>
        <w:jc w:val="center"/>
        <w:rPr>
          <w:b/>
          <w:sz w:val="32"/>
        </w:rPr>
      </w:pPr>
      <w:r>
        <w:rPr>
          <w:b/>
          <w:sz w:val="32"/>
        </w:rPr>
        <w:t>FORM 6-K </w:t>
      </w:r>
    </w:p>
    <w:p>
      <w:pPr>
        <w:pStyle w:val="TextBody"/>
        <w:bidi w:val="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center"/>
        <w:rPr/>
      </w:pPr>
      <w:r>
        <w:rPr/>
        <w:t> </w:t>
      </w:r>
    </w:p>
    <w:p>
      <w:pPr>
        <w:pStyle w:val="TextBody"/>
        <w:bidi w:val="0"/>
        <w:jc w:val="center"/>
        <w:rPr>
          <w:b/>
          <w:sz w:val="20"/>
        </w:rPr>
      </w:pPr>
      <w:r>
        <w:rPr>
          <w:b/>
          <w:sz w:val="20"/>
        </w:rPr>
        <w:t>REPORT OF FOREIGN PRIVATE ISSUER</w:t>
      </w:r>
    </w:p>
    <w:p>
      <w:pPr>
        <w:pStyle w:val="TextBody"/>
        <w:bidi w:val="0"/>
        <w:jc w:val="center"/>
        <w:rPr>
          <w:b/>
          <w:sz w:val="20"/>
        </w:rPr>
      </w:pPr>
      <w:r>
        <w:rPr>
          <w:b/>
          <w:sz w:val="20"/>
        </w:rPr>
        <w:t>PURSUANT TO SECTION 13a-16 OR 15d-16</w:t>
      </w:r>
    </w:p>
    <w:p>
      <w:pPr>
        <w:pStyle w:val="TextBody"/>
        <w:bidi w:val="0"/>
        <w:spacing w:before="0" w:after="240"/>
        <w:jc w:val="center"/>
        <w:rPr>
          <w:b/>
          <w:sz w:val="20"/>
        </w:rPr>
      </w:pPr>
      <w:r>
        <w:rPr>
          <w:b/>
          <w:sz w:val="20"/>
        </w:rPr>
        <w:t>UNDER THE SECURITIES EXCHANGE ACT OF 1934</w:t>
      </w:r>
    </w:p>
    <w:p>
      <w:pPr>
        <w:pStyle w:val="TextBody"/>
        <w:bidi w:val="0"/>
        <w:spacing w:before="0" w:after="240"/>
        <w:jc w:val="center"/>
        <w:rPr>
          <w:b/>
          <w:sz w:val="20"/>
        </w:rPr>
      </w:pPr>
      <w:r>
        <w:rPr>
          <w:b/>
          <w:sz w:val="20"/>
        </w:rPr>
        <w:t>For the month of September 2026</w:t>
      </w:r>
    </w:p>
    <w:p>
      <w:pPr>
        <w:pStyle w:val="TextBody"/>
        <w:bidi w:val="0"/>
        <w:jc w:val="center"/>
        <w:rPr>
          <w:b/>
          <w:sz w:val="20"/>
        </w:rPr>
      </w:pPr>
      <w:r>
        <w:rPr>
          <w:b/>
          <w:sz w:val="20"/>
        </w:rPr>
        <w:t>Commission File Number: 001-39950</w:t>
      </w:r>
    </w:p>
    <w:p>
      <w:pPr>
        <w:pStyle w:val="TextBody"/>
        <w:bidi w:val="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center"/>
        <w:rPr/>
      </w:pPr>
      <w:r>
        <w:rPr/>
        <w:t> </w:t>
      </w:r>
    </w:p>
    <w:p>
      <w:pPr>
        <w:pStyle w:val="TextBody"/>
        <w:bidi w:val="0"/>
        <w:spacing w:before="0" w:after="100"/>
        <w:jc w:val="center"/>
        <w:rPr>
          <w:b/>
          <w:sz w:val="36"/>
        </w:rPr>
      </w:pPr>
      <w:r>
        <w:rPr>
          <w:b/>
          <w:sz w:val="36"/>
        </w:rPr>
        <w:t>Evaxion A/S</w:t>
      </w:r>
    </w:p>
    <w:p>
      <w:pPr>
        <w:pStyle w:val="TextBody"/>
        <w:bidi w:val="0"/>
        <w:spacing w:before="0" w:after="240"/>
        <w:jc w:val="center"/>
        <w:rPr>
          <w:b/>
          <w:sz w:val="20"/>
        </w:rPr>
      </w:pPr>
      <w:r>
        <w:rPr>
          <w:b/>
          <w:sz w:val="20"/>
        </w:rPr>
        <w:t>(Exact Name of Registrant as Specified in Its Charter)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center"/>
        <w:rPr>
          <w:b/>
          <w:sz w:val="20"/>
        </w:rPr>
      </w:pPr>
      <w:r>
        <w:rPr>
          <w:b/>
          <w:sz w:val="20"/>
        </w:rPr>
        <w:t>Dr. Neergaards Vej 5f</w:t>
      </w:r>
    </w:p>
    <w:p>
      <w:pPr>
        <w:pStyle w:val="TextBody"/>
        <w:bidi w:val="0"/>
        <w:jc w:val="center"/>
        <w:rPr>
          <w:b/>
          <w:sz w:val="20"/>
        </w:rPr>
      </w:pPr>
      <w:r>
        <w:rPr>
          <w:b/>
          <w:sz w:val="20"/>
        </w:rPr>
        <w:t>DK-2970 Hoersholm</w:t>
      </w:r>
    </w:p>
    <w:p>
      <w:pPr>
        <w:pStyle w:val="TextBody"/>
        <w:bidi w:val="0"/>
        <w:jc w:val="center"/>
        <w:rPr>
          <w:b/>
          <w:sz w:val="20"/>
        </w:rPr>
      </w:pPr>
      <w:r>
        <w:rPr>
          <w:b/>
          <w:sz w:val="20"/>
        </w:rPr>
        <w:t>Denmark</w:t>
      </w:r>
    </w:p>
    <w:p>
      <w:pPr>
        <w:pStyle w:val="TextBody"/>
        <w:bidi w:val="0"/>
        <w:spacing w:before="0" w:after="240"/>
        <w:jc w:val="center"/>
        <w:rPr>
          <w:b/>
          <w:sz w:val="20"/>
        </w:rPr>
      </w:pPr>
      <w:r>
        <w:rPr>
          <w:b/>
          <w:sz w:val="20"/>
        </w:rPr>
        <w:t>(Address of principal executive offices)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240"/>
        <w:jc w:val="left"/>
        <w:rPr>
          <w:sz w:val="20"/>
        </w:rPr>
      </w:pPr>
      <w:r>
        <w:rPr>
          <w:sz w:val="20"/>
        </w:rPr>
        <w:t>Indicate by check mark whether the registrant files or will file annual reports under cover of Form 20-F or Form 40-F.</w:t>
      </w:r>
    </w:p>
    <w:p>
      <w:pPr>
        <w:pStyle w:val="TextBody"/>
        <w:bidi w:val="0"/>
        <w:spacing w:before="0" w:after="160"/>
        <w:jc w:val="center"/>
        <w:rPr>
          <w:sz w:val="20"/>
        </w:rPr>
      </w:pPr>
      <w:r>
        <w:rPr>
          <w:sz w:val="20"/>
        </w:rPr>
        <w:t>Form 20-F ☒</w:t>
        <w:tab/>
        <w:t>           Form 40-F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INCORPORATION BY REFERENCE</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This report on Form 6-K shall be deemed to be incorporated by reference in Evaxion A/S’s (the “Company”)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Amendment to Articles of Association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During the period between August 19, 2026 and August 21, 2026, the Company sold 681,268 American Depositary Shares (the “ADSs”), representing the Company’s ordinary shares, DKK 0.25 nominal value with each ADS representing fifty (50) ordinary shares, at an average price of USD $3.1987 per ADS. The ADSs were sold in an at-the-market (ATM) offering pursuant to the terms and subject to the conditions contained in that certain Capital Demand™ Sales Agreement between the Company and Jones Trading Institutional Services LLC dated October 3, 2022. After deducting fees and expenses, net proceeds to the Company from the sales of the ADSs were $2,113,767.</w:t>
      </w:r>
    </w:p>
    <w:p>
      <w:pPr>
        <w:pStyle w:val="TextBody"/>
        <w:bidi w:val="0"/>
        <w:spacing w:before="0" w:after="0"/>
        <w:ind w:left="0" w:right="0" w:hanging="0"/>
        <w:jc w:val="left"/>
        <w:rPr>
          <w:sz w:val="20"/>
        </w:rPr>
      </w:pPr>
      <w:r>
        <w:rPr>
          <w:sz w:val="20"/>
        </w:rPr>
        <w:t>In connection with such sales, the Company registered aggregate share capital increases of nominal DKK 8,515,850 with the Danish Business Authority, with effect date of August 24, 2026, corresponding to an aggregate increase in the Company’s share capital to nominal DKK 112,768,539 through the issuance of such 681,268 ADSs representing the Company’s ordinary shares.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Company’s Articles of Association were amended as of August, to reflect these capital increases and are attached hereto as Exhibit 1.1.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b/>
          <w:sz w:val="20"/>
        </w:rPr>
      </w:pPr>
      <w:r>
        <w:rPr>
          <w:b/>
          <w:sz w:val="20"/>
        </w:rPr>
        <w:t>Exhibits</w:t>
      </w:r>
    </w:p>
    <w:tbl>
      <w:tblPr>
        <w:tblW w:w="2590" w:type="dxa"/>
        <w:jc w:val="left"/>
        <w:tblInd w:w="0" w:type="dxa"/>
        <w:tblLayout w:type="fixed"/>
        <w:tblCellMar>
          <w:top w:w="0" w:type="dxa"/>
          <w:left w:w="0" w:type="dxa"/>
          <w:bottom w:w="0" w:type="dxa"/>
          <w:right w:w="0" w:type="dxa"/>
        </w:tblCellMar>
      </w:tblPr>
      <w:tblGrid>
        <w:gridCol w:w="650"/>
        <w:gridCol w:w="60"/>
        <w:gridCol w:w="1880"/>
      </w:tblGrid>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20"/>
              </w:rPr>
            </w:pPr>
            <w:r>
              <w:rPr>
                <w:sz w:val="20"/>
              </w:rPr>
              <w:t>Exhibit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650" w:type="dxa"/>
            <w:tcBorders>
              <w:bottom w:val="single" w:sz="8" w:space="0" w:color="000000"/>
            </w:tcBorders>
            <w:tcMar>
              <w:bottom w:w="28" w:type="dxa"/>
            </w:tcMar>
            <w:vAlign w:val="center"/>
          </w:tcPr>
          <w:p>
            <w:pPr>
              <w:pStyle w:val="TableContents"/>
              <w:bidi w:val="0"/>
              <w:spacing w:before="0" w:after="283"/>
              <w:jc w:val="left"/>
              <w:rPr>
                <w:sz w:val="20"/>
              </w:rPr>
            </w:pPr>
            <w:r>
              <w:rPr>
                <w:sz w:val="20"/>
              </w:rPr>
              <w:t>No.</w:t>
            </w:r>
          </w:p>
        </w:tc>
        <w:tc>
          <w:tcPr>
            <w:tcW w:w="60" w:type="dxa"/>
            <w:tcBorders/>
            <w:vAlign w:val="center"/>
          </w:tcPr>
          <w:p>
            <w:pPr>
              <w:pStyle w:val="TableContents"/>
              <w:bidi w:val="0"/>
              <w:spacing w:before="0" w:after="283"/>
              <w:jc w:val="left"/>
              <w:rPr/>
            </w:pPr>
            <w:r>
              <w:rPr/>
              <w:t> </w:t>
            </w:r>
          </w:p>
        </w:tc>
        <w:tc>
          <w:tcPr>
            <w:tcW w:w="1880" w:type="dxa"/>
            <w:tcBorders>
              <w:bottom w:val="single" w:sz="8" w:space="0" w:color="000000"/>
            </w:tcBorders>
            <w:tcMar>
              <w:bottom w:w="28" w:type="dxa"/>
            </w:tcMar>
            <w:vAlign w:val="center"/>
          </w:tcPr>
          <w:p>
            <w:pPr>
              <w:pStyle w:val="TableContents"/>
              <w:bidi w:val="0"/>
              <w:spacing w:before="0" w:after="283"/>
              <w:jc w:val="left"/>
              <w:rPr>
                <w:sz w:val="20"/>
              </w:rPr>
            </w:pPr>
            <w:r>
              <w:rPr>
                <w:sz w:val="20"/>
              </w:rPr>
              <w:t>Description</w:t>
            </w:r>
          </w:p>
        </w:tc>
      </w:tr>
      <w:tr>
        <w:trPr/>
        <w:tc>
          <w:tcPr>
            <w:tcW w:w="650" w:type="dxa"/>
            <w:tcBorders>
              <w:bottom w:val="single" w:sz="8" w:space="0" w:color="000000"/>
            </w:tcBorders>
            <w:tcMar>
              <w:bottom w:w="28" w:type="dxa"/>
            </w:tcMar>
            <w:vAlign w:val="center"/>
          </w:tcPr>
          <w:p>
            <w:pPr>
              <w:pStyle w:val="TableContents"/>
              <w:bidi w:val="0"/>
              <w:spacing w:before="0" w:after="283"/>
              <w:jc w:val="left"/>
              <w:rPr/>
            </w:pPr>
            <w:hyperlink w:anchor="exh_11.htm">
              <w:r>
                <w:rPr>
                  <w:rStyle w:val="InternetLink"/>
                  <w:sz w:val="20"/>
                </w:rPr>
                <w:t>1.1</w:t>
              </w:r>
            </w:hyperlink>
          </w:p>
        </w:tc>
        <w:tc>
          <w:tcPr>
            <w:tcW w:w="60" w:type="dxa"/>
            <w:tcBorders/>
            <w:vAlign w:val="center"/>
          </w:tcPr>
          <w:p>
            <w:pPr>
              <w:pStyle w:val="TableContents"/>
              <w:bidi w:val="0"/>
              <w:spacing w:before="0" w:after="283"/>
              <w:jc w:val="left"/>
              <w:rPr/>
            </w:pPr>
            <w:r>
              <w:rPr/>
              <w:t> </w:t>
            </w:r>
          </w:p>
        </w:tc>
        <w:tc>
          <w:tcPr>
            <w:tcW w:w="1880" w:type="dxa"/>
            <w:tcBorders>
              <w:bottom w:val="single" w:sz="8" w:space="0" w:color="000000"/>
            </w:tcBorders>
            <w:tcMar>
              <w:bottom w:w="28" w:type="dxa"/>
            </w:tcMar>
            <w:vAlign w:val="center"/>
          </w:tcPr>
          <w:p>
            <w:pPr>
              <w:pStyle w:val="TableContents"/>
              <w:bidi w:val="0"/>
              <w:spacing w:before="0" w:after="283"/>
              <w:jc w:val="left"/>
              <w:rPr/>
            </w:pPr>
            <w:hyperlink w:anchor="exh_11.htm">
              <w:r>
                <w:rPr>
                  <w:rStyle w:val="InternetLink"/>
                  <w:sz w:val="20"/>
                </w:rPr>
                <w:t>Articles of Association</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SIGNATURES</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center"/>
        <w:rPr/>
      </w:pPr>
      <w:r>
        <w:rPr/>
        <w:t> </w:t>
      </w:r>
    </w:p>
    <w:tbl>
      <w:tblPr>
        <w:tblW w:w="4680" w:type="dxa"/>
        <w:jc w:val="left"/>
        <w:tblInd w:w="0" w:type="dxa"/>
        <w:tblLayout w:type="fixed"/>
        <w:tblCellMar>
          <w:top w:w="0" w:type="dxa"/>
          <w:left w:w="0" w:type="dxa"/>
          <w:bottom w:w="0" w:type="dxa"/>
          <w:right w:w="0" w:type="dxa"/>
        </w:tblCellMar>
      </w:tblPr>
      <w:tblGrid>
        <w:gridCol w:w="2030"/>
        <w:gridCol w:w="320"/>
        <w:gridCol w:w="2330"/>
      </w:tblGrid>
      <w:tr>
        <w:trPr/>
        <w:tc>
          <w:tcPr>
            <w:tcW w:w="2030"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b/>
                <w:sz w:val="20"/>
              </w:rPr>
            </w:pPr>
            <w:r>
              <w:rPr>
                <w:b/>
                <w:sz w:val="20"/>
              </w:rPr>
              <w:t>Evaxion A/S</w:t>
            </w:r>
          </w:p>
        </w:tc>
      </w:tr>
      <w:tr>
        <w:trPr/>
        <w:tc>
          <w:tcPr>
            <w:tcW w:w="2030"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 September 4, 2026</w:t>
            </w:r>
          </w:p>
        </w:tc>
        <w:tc>
          <w:tcPr>
            <w:tcW w:w="320" w:type="dxa"/>
            <w:tcBorders/>
            <w:vAlign w:val="center"/>
          </w:tcPr>
          <w:p>
            <w:pPr>
              <w:pStyle w:val="TableContents"/>
              <w:bidi w:val="0"/>
              <w:spacing w:before="0" w:after="283"/>
              <w:jc w:val="left"/>
              <w:rPr>
                <w:sz w:val="20"/>
              </w:rPr>
            </w:pPr>
            <w:r>
              <w:rPr>
                <w:sz w:val="20"/>
              </w:rPr>
              <w:t>By:</w:t>
            </w:r>
          </w:p>
        </w:tc>
        <w:tc>
          <w:tcPr>
            <w:tcW w:w="233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Dr. Helen Tayton-Martin</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sz w:val="20"/>
              </w:rPr>
            </w:pPr>
            <w:r>
              <w:rPr>
                <w:sz w:val="20"/>
              </w:rPr>
              <w:t>Dr. Helen Tayton-Martin</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ind w:left="0" w:right="0" w:hanging="0"/>
              <w:jc w:val="left"/>
              <w:rPr>
                <w:sz w:val="20"/>
              </w:rPr>
            </w:pPr>
            <w:r>
              <w:rPr>
                <w:sz w:val="20"/>
              </w:rPr>
              <w:t>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xh_11.htm"/>
      <w:bookmarkStart w:id="3" w:name="ksexh_11"/>
      <w:bookmarkEnd w:id="2"/>
      <w:bookmarkEnd w:id="3"/>
      <w:r>
        <w:rPr>
          <w:rFonts w:ascii="Times New Roman;Times;Serif" w:hAnsi="Times New Roman;Times;Serif"/>
          <w:b/>
          <w:i w:val="false"/>
          <w:caps w:val="false"/>
          <w:smallCaps w:val="false"/>
          <w:sz w:val="20"/>
        </w:rPr>
        <w:t>Exhibit 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3F60"/>
          <w:sz w:val="20"/>
        </w:rPr>
        <w:t>VEDTÆGTER /</w:t>
      </w:r>
      <w:r>
        <w:rPr>
          <w:rFonts w:ascii="Times New Roman;Times;Serif" w:hAnsi="Times New Roman;Times;Serif"/>
          <w:b w:val="false"/>
          <w:i w:val="false"/>
          <w:caps w:val="false"/>
          <w:smallCaps w:val="false"/>
          <w:sz w:val="20"/>
        </w:rPr>
        <w:t xml:space="preserve">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EVAXION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CVR-nr. 31762863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3132"/>
        <w:gridCol w:w="60"/>
        <w:gridCol w:w="320"/>
        <w:gridCol w:w="6403"/>
      </w:tblGrid>
      <w:tr>
        <w:trPr/>
        <w:tc>
          <w:tcPr>
            <w:tcW w:w="2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313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Selskabets navn og formål</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1.</w:t>
            </w:r>
          </w:p>
        </w:tc>
        <w:tc>
          <w:tcPr>
            <w:tcW w:w="640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Name and object</w:t>
            </w:r>
          </w:p>
        </w:tc>
      </w:tr>
      <w:tr>
        <w:trPr/>
        <w:tc>
          <w:tcPr>
            <w:tcW w:w="290" w:type="dxa"/>
            <w:tcBorders/>
            <w:vAlign w:val="center"/>
          </w:tcPr>
          <w:p>
            <w:pPr>
              <w:pStyle w:val="TableContents"/>
              <w:bidi w:val="0"/>
              <w:spacing w:before="0" w:after="283"/>
              <w:jc w:val="left"/>
              <w:rPr/>
            </w:pPr>
            <w:r>
              <w:rPr/>
              <w:t> </w:t>
            </w:r>
          </w:p>
        </w:tc>
        <w:tc>
          <w:tcPr>
            <w:tcW w:w="31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640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31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Selskabets navn er Evaxion A/S. Selskabet driver tillige virksomhed under binavnene Evaxion Biotech A/S og NovVac A/S.</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640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name of the Company is Evaxion A/S. The Company also carries on business under the secondary names Evaxion Biotech A/S and NovVac A/S.</w:t>
            </w:r>
          </w:p>
        </w:tc>
      </w:tr>
      <w:tr>
        <w:trPr/>
        <w:tc>
          <w:tcPr>
            <w:tcW w:w="290" w:type="dxa"/>
            <w:tcBorders/>
            <w:vAlign w:val="center"/>
          </w:tcPr>
          <w:p>
            <w:pPr>
              <w:pStyle w:val="TableContents"/>
              <w:bidi w:val="0"/>
              <w:spacing w:before="0" w:after="283"/>
              <w:jc w:val="left"/>
              <w:rPr/>
            </w:pPr>
            <w:r>
              <w:rPr/>
              <w:t> </w:t>
            </w:r>
          </w:p>
        </w:tc>
        <w:tc>
          <w:tcPr>
            <w:tcW w:w="31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left"/>
              <w:rPr/>
            </w:pPr>
            <w:r>
              <w:rPr/>
              <w:t> </w:t>
            </w:r>
          </w:p>
        </w:tc>
        <w:tc>
          <w:tcPr>
            <w:tcW w:w="6403"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31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Selskabets formål er at skabe avanceret software med henblik på udvikling af nye immunterapier og vacciner.</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1.2</w:t>
            </w:r>
          </w:p>
        </w:tc>
        <w:tc>
          <w:tcPr>
            <w:tcW w:w="640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objective of the Company is to create advanced software that enables the development of novel immune therapies and vaccines.</w:t>
            </w:r>
          </w:p>
        </w:tc>
      </w:tr>
      <w:tr>
        <w:trPr/>
        <w:tc>
          <w:tcPr>
            <w:tcW w:w="290" w:type="dxa"/>
            <w:tcBorders/>
            <w:vAlign w:val="center"/>
          </w:tcPr>
          <w:p>
            <w:pPr>
              <w:pStyle w:val="TableContents"/>
              <w:bidi w:val="0"/>
              <w:spacing w:before="0" w:after="283"/>
              <w:jc w:val="both"/>
              <w:rPr/>
            </w:pPr>
            <w:r>
              <w:rPr/>
              <w:t> </w:t>
            </w:r>
          </w:p>
        </w:tc>
        <w:tc>
          <w:tcPr>
            <w:tcW w:w="313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640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2.</w:t>
            </w:r>
          </w:p>
        </w:tc>
        <w:tc>
          <w:tcPr>
            <w:tcW w:w="3132"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Kapitalforhold</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2.</w:t>
            </w:r>
          </w:p>
        </w:tc>
        <w:tc>
          <w:tcPr>
            <w:tcW w:w="640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Capital</w:t>
            </w:r>
          </w:p>
        </w:tc>
      </w:tr>
      <w:tr>
        <w:trPr/>
        <w:tc>
          <w:tcPr>
            <w:tcW w:w="290" w:type="dxa"/>
            <w:tcBorders/>
            <w:vAlign w:val="center"/>
          </w:tcPr>
          <w:p>
            <w:pPr>
              <w:pStyle w:val="TableContents"/>
              <w:bidi w:val="0"/>
              <w:spacing w:before="0" w:after="283"/>
              <w:jc w:val="both"/>
              <w:rPr/>
            </w:pPr>
            <w:r>
              <w:rPr/>
              <w:t> </w:t>
            </w:r>
          </w:p>
        </w:tc>
        <w:tc>
          <w:tcPr>
            <w:tcW w:w="313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640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w:t>
            </w:r>
          </w:p>
        </w:tc>
        <w:tc>
          <w:tcPr>
            <w:tcW w:w="31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Selskabets kapital udgør nominelt 112.768.539 kr. fordelt på 451.074.156 aktier á nominelt 0,25 kr. eller multipla heraf.</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w:t>
            </w:r>
          </w:p>
        </w:tc>
        <w:tc>
          <w:tcPr>
            <w:tcW w:w="640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share  capital  is  nominal  DKK 112,768,539 divided into 451,074,156 shares of nominal DKK 0.25 each or any multiples hereof.</w:t>
            </w:r>
          </w:p>
        </w:tc>
      </w:tr>
      <w:tr>
        <w:trPr/>
        <w:tc>
          <w:tcPr>
            <w:tcW w:w="290" w:type="dxa"/>
            <w:tcBorders/>
            <w:vAlign w:val="center"/>
          </w:tcPr>
          <w:p>
            <w:pPr>
              <w:pStyle w:val="TableContents"/>
              <w:bidi w:val="0"/>
              <w:spacing w:before="0" w:after="283"/>
              <w:jc w:val="both"/>
              <w:rPr/>
            </w:pPr>
            <w:r>
              <w:rPr/>
              <w:t> </w:t>
            </w:r>
          </w:p>
        </w:tc>
        <w:tc>
          <w:tcPr>
            <w:tcW w:w="313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640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w:t>
            </w:r>
          </w:p>
        </w:tc>
        <w:tc>
          <w:tcPr>
            <w:tcW w:w="31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Kapitalejers navn og adresse indføres i selskabets ejerbog. Ejerbogen føres af Computershare A/S (CVR-nr. 27088899).</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w:t>
            </w:r>
          </w:p>
        </w:tc>
        <w:tc>
          <w:tcPr>
            <w:tcW w:w="640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names and addresses of the shareholders shall be entered into the Company’s shareholders’ register. The shareholders’ register shall be kept by Computershare A/S (CVR no. 27088899).</w:t>
            </w:r>
          </w:p>
        </w:tc>
      </w:tr>
      <w:tr>
        <w:trPr/>
        <w:tc>
          <w:tcPr>
            <w:tcW w:w="290" w:type="dxa"/>
            <w:tcBorders/>
            <w:vAlign w:val="center"/>
          </w:tcPr>
          <w:p>
            <w:pPr>
              <w:pStyle w:val="TableContents"/>
              <w:bidi w:val="0"/>
              <w:spacing w:before="0" w:after="283"/>
              <w:jc w:val="both"/>
              <w:rPr/>
            </w:pPr>
            <w:r>
              <w:rPr/>
              <w:t> </w:t>
            </w:r>
          </w:p>
        </w:tc>
        <w:tc>
          <w:tcPr>
            <w:tcW w:w="313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640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w:t>
            </w:r>
          </w:p>
        </w:tc>
        <w:tc>
          <w:tcPr>
            <w:tcW w:w="31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Ingen aktie har særlige rettigheder og ingen kapitalejer er pligtig at lade sine aktier indløse.</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w:t>
            </w:r>
          </w:p>
        </w:tc>
        <w:tc>
          <w:tcPr>
            <w:tcW w:w="640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 share carries any special rights and no shareholder is obliged to let his shares be redeemed.</w:t>
            </w:r>
          </w:p>
        </w:tc>
      </w:tr>
      <w:tr>
        <w:trPr/>
        <w:tc>
          <w:tcPr>
            <w:tcW w:w="290" w:type="dxa"/>
            <w:tcBorders/>
            <w:vAlign w:val="center"/>
          </w:tcPr>
          <w:p>
            <w:pPr>
              <w:pStyle w:val="TableContents"/>
              <w:bidi w:val="0"/>
              <w:spacing w:before="0" w:after="283"/>
              <w:jc w:val="both"/>
              <w:rPr/>
            </w:pPr>
            <w:r>
              <w:rPr/>
              <w:t> </w:t>
            </w:r>
          </w:p>
        </w:tc>
        <w:tc>
          <w:tcPr>
            <w:tcW w:w="313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640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w:t>
            </w:r>
          </w:p>
        </w:tc>
        <w:tc>
          <w:tcPr>
            <w:tcW w:w="31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Aktierne er ikke-omsætningspapirer.</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w:t>
            </w:r>
          </w:p>
        </w:tc>
        <w:tc>
          <w:tcPr>
            <w:tcW w:w="640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shares are non-negotiable instruments.</w:t>
            </w:r>
          </w:p>
        </w:tc>
      </w:tr>
      <w:tr>
        <w:trPr/>
        <w:tc>
          <w:tcPr>
            <w:tcW w:w="290" w:type="dxa"/>
            <w:tcBorders/>
            <w:vAlign w:val="center"/>
          </w:tcPr>
          <w:p>
            <w:pPr>
              <w:pStyle w:val="TableContents"/>
              <w:bidi w:val="0"/>
              <w:spacing w:before="0" w:after="283"/>
              <w:jc w:val="both"/>
              <w:rPr/>
            </w:pPr>
            <w:r>
              <w:rPr/>
              <w:t> </w:t>
            </w:r>
          </w:p>
        </w:tc>
        <w:tc>
          <w:tcPr>
            <w:tcW w:w="313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640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w:t>
            </w:r>
          </w:p>
        </w:tc>
        <w:tc>
          <w:tcPr>
            <w:tcW w:w="31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Bestyrelsen er i perioden indtil 15. april 2029 bemyndiget til ad én eller flere gange at udstede warrants til medlemmer af selskabets bestyrelse og direktion samt nøglemedarbejdere i selskabet eller dets datterselskaber, som giver ret til tegning af i alt op til nominelt DKK 11.900.000 uden fortegningsret for </w:t>
            </w:r>
            <w:r>
              <w:rPr>
                <w:rFonts w:ascii="Times New Roman;Times;Serif" w:hAnsi="Times New Roman;Times;Serif"/>
                <w:sz w:val="20"/>
              </w:rPr>
              <w:t>selskabets aktionærer. Udnyttelseskursen for warrants, der er udstedt i henhold til denne bemyndigelse, skal fastsættes af bestyrelsen til markedskurs. Bestyrelsen fastlægger vilkårene for udstedte warrants og fordelingen heraf.</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w:t>
            </w:r>
          </w:p>
        </w:tc>
        <w:tc>
          <w:tcPr>
            <w:tcW w:w="6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of directors is until 15 April 2029 authorized at one or more times to issue warrants to members of the company's board of directors and executive management as well as key-employees of the company or its subsidiaries entitling the holder to subscribe for shares for a total of up to nominal value of DKK 11,900,000 without pre-emptive subscription rights for the company's shareholders. The exercise price for the warrants issued according to this authorization shall be determined by the board of directors at market price. The board of directors shall determine the terms for the warrants issued and the distribution 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215"/>
        <w:gridCol w:w="60"/>
        <w:gridCol w:w="60"/>
        <w:gridCol w:w="4795"/>
      </w:tblGrid>
      <w:tr>
        <w:trPr/>
        <w:tc>
          <w:tcPr>
            <w:tcW w:w="75" w:type="dxa"/>
            <w:tcBorders/>
            <w:vAlign w:val="center"/>
          </w:tcPr>
          <w:p>
            <w:pPr>
              <w:pStyle w:val="TableContents"/>
              <w:bidi w:val="0"/>
              <w:spacing w:before="0" w:after="283"/>
              <w:jc w:val="both"/>
              <w:rPr/>
            </w:pPr>
            <w:r>
              <w:rPr/>
              <w:t> </w:t>
            </w:r>
          </w:p>
        </w:tc>
        <w:tc>
          <w:tcPr>
            <w:tcW w:w="5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Bestyrelsen er samtidig bemyndiget til i perioden indtil 15. april 2029 ad én eller flere gange at forhøje selskabets aktiekapital med op til i alt nominelt DKK 11.900.000 uden fortegningsret for selskabets aktionærer ved kontant indbetaling med henblik på at gennemføre de til udnyttelsen af udstedte warrants tilhørende kapitalforhøjelser. Bestyrelsen kan med hjemmel i denne bemyndigelse minimum forhøje aktiekapitalen med DKK 0,25 og maksimalt med nominelt DKK 11.900.000</w:t>
            </w:r>
            <w:r>
              <w:rPr>
                <w:rFonts w:ascii="Times New Roman;Times;Serif" w:hAnsi="Times New Roman;Times;Serif"/>
                <w:i/>
                <w:sz w:val="20"/>
              </w:rPr>
              <w:t>.</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the same time, the board of directors is authorized until 15 April 2029 at one or more times to increase the company's share capital with up to nominal value of DKK 11,900,000 without pre-emptive rights for the company's shareholders by cash payment in order to implement the capital increase related to exercise of warrants. In accordance with this clause the board of directors may increase share capital with a minimum nominal value of DKK 0,25 and a maximum nominal value of DKK 11,900,000.</w:t>
            </w:r>
          </w:p>
        </w:tc>
      </w:tr>
      <w:tr>
        <w:trPr/>
        <w:tc>
          <w:tcPr>
            <w:tcW w:w="75" w:type="dxa"/>
            <w:tcBorders/>
            <w:vAlign w:val="center"/>
          </w:tcPr>
          <w:p>
            <w:pPr>
              <w:pStyle w:val="TableContents"/>
              <w:bidi w:val="0"/>
              <w:spacing w:before="0" w:after="283"/>
              <w:jc w:val="both"/>
              <w:rPr/>
            </w:pPr>
            <w:r>
              <w:rPr/>
              <w:t> </w:t>
            </w:r>
          </w:p>
        </w:tc>
        <w:tc>
          <w:tcPr>
            <w:tcW w:w="52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215" w:type="dxa"/>
            <w:tcBorders/>
            <w:vAlign w:val="center"/>
          </w:tcPr>
          <w:p>
            <w:pPr>
              <w:pStyle w:val="TableContents"/>
              <w:bidi w:val="0"/>
              <w:spacing w:before="0" w:after="283"/>
              <w:jc w:val="both"/>
              <w:rPr/>
            </w:pPr>
            <w:r>
              <w:rPr>
                <w:rFonts w:ascii="Times New Roman;Times;Serif" w:hAnsi="Times New Roman;Times;Serif"/>
                <w:sz w:val="20"/>
              </w:rPr>
              <w:t xml:space="preserve">De aktier, som måtte blive tegnet ved udnyttelse af warrants, skal være ikke-omsætningspapirer og skal lyde på navn og noteres på navn i ejerbogen. De nye aktier skal være underlagt samme indskrænkninger i aktiernes omsættelighed, som er gældende for selskabets øvrige aktier, og ingen aktionær skal være forpligtet til at lade sine aktier indløse helt eller delvist. Der kan ikke ske delvis indbetaling. Aktierne skal i det hele være ligestillet med den bestående aktiekapital og skal ikke tilhøre en særlig aktieklasse. Aktierne giver ret til udbytte og andre rettigheder i selskabet på tidspunktet for </w:t>
            </w:r>
            <w:r>
              <w:rPr>
                <w:rFonts w:ascii="Times New Roman;Times;Serif" w:hAnsi="Times New Roman;Times;Serif"/>
              </w:rPr>
              <w:t>registreringen af kapitalforhøjelsen i Erhvervsstyrelsen.</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95" w:type="dxa"/>
            <w:tcBorders/>
            <w:vAlign w:val="center"/>
          </w:tcPr>
          <w:p>
            <w:pPr>
              <w:pStyle w:val="TableContents"/>
              <w:bidi w:val="0"/>
              <w:spacing w:before="0" w:after="283"/>
              <w:jc w:val="both"/>
              <w:rPr/>
            </w:pPr>
            <w:r>
              <w:rPr>
                <w:rFonts w:ascii="Times New Roman;Times;Serif" w:hAnsi="Times New Roman;Times;Serif"/>
                <w:sz w:val="20"/>
              </w:rPr>
              <w:t xml:space="preserve">The shares issued based on exercise of warrants shall be non-negotiable instruments issued in the name of the holder and registered in the name of the holder in the company's register of shareholders. The shares shall be subject to the same restrictions on transferability as the existing shares of the company and no shareholder shall be obliged to have the shares redeemed fully or partly. No partial payment is allowed. The shares shall be with the same rights as the existing share capital and shall not belong to a specific share class. The shares shall give rights to dividends and other rights in the </w:t>
            </w:r>
            <w:r>
              <w:rPr>
                <w:rFonts w:ascii="Times New Roman;Times;Serif" w:hAnsi="Times New Roman;Times;Serif"/>
              </w:rPr>
              <w:t>company from the time of registration of the capital increase with the Danish Business Authority.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4648"/>
        <w:gridCol w:w="60"/>
        <w:gridCol w:w="425"/>
        <w:gridCol w:w="4632"/>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2.5.1</w:t>
            </w:r>
          </w:p>
        </w:tc>
        <w:tc>
          <w:tcPr>
            <w:tcW w:w="46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en tidligere i punkt 2.5 indeholdt bemyndigelse fra generalforsamlingen har bestyrelsen den 17. december 2020 tildelt og udstedt 581.796 stk. warrants, hver med ret til at tegne en aktie med pålydende DKK 1,00. Tildelingen af warrants sker vederlagsfrit.</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2.5.1</w:t>
            </w:r>
          </w:p>
        </w:tc>
        <w:tc>
          <w:tcPr>
            <w:tcW w:w="46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a previous authorization from the general meeting set out in clause 2.5, the board of directors has on 17 December 2020 granted and issued 581,796 warrants. Each warrant entitles the holder to subscribe for one share in the company with a nominal value of DKK 1.00. The grant of the warrants shall not be subject to payment from the holders.</w:t>
            </w:r>
          </w:p>
        </w:tc>
      </w:tr>
      <w:tr>
        <w:trPr/>
        <w:tc>
          <w:tcPr>
            <w:tcW w:w="440" w:type="dxa"/>
            <w:tcBorders/>
            <w:vAlign w:val="center"/>
          </w:tcPr>
          <w:p>
            <w:pPr>
              <w:pStyle w:val="TableContents"/>
              <w:bidi w:val="0"/>
              <w:spacing w:before="0" w:after="283"/>
              <w:jc w:val="both"/>
              <w:rPr/>
            </w:pPr>
            <w:r>
              <w:rPr/>
              <w:t> </w:t>
            </w:r>
          </w:p>
        </w:tc>
        <w:tc>
          <w:tcPr>
            <w:tcW w:w="464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632"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46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 således udstedte warrants udstedes på følgende vilkår:</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6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terms and conditions with respect to the granted warrants are as set forth below:</w:t>
            </w:r>
          </w:p>
        </w:tc>
      </w:tr>
      <w:tr>
        <w:trPr/>
        <w:tc>
          <w:tcPr>
            <w:tcW w:w="440" w:type="dxa"/>
            <w:tcBorders/>
            <w:vAlign w:val="center"/>
          </w:tcPr>
          <w:p>
            <w:pPr>
              <w:pStyle w:val="TableContents"/>
              <w:bidi w:val="0"/>
              <w:spacing w:before="0" w:after="283"/>
              <w:jc w:val="both"/>
              <w:rPr/>
            </w:pPr>
            <w:r>
              <w:rPr/>
              <w:t> </w:t>
            </w:r>
          </w:p>
        </w:tc>
        <w:tc>
          <w:tcPr>
            <w:tcW w:w="464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632"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46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67.464 warrants udstedes på de i vedtægternes bilag 3 angivne vilkår.</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6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67,464 warrants are issued on the terms and conditions set forth in appendix 3 to the articles of association.</w:t>
            </w:r>
          </w:p>
        </w:tc>
      </w:tr>
      <w:tr>
        <w:trPr/>
        <w:tc>
          <w:tcPr>
            <w:tcW w:w="440" w:type="dxa"/>
            <w:tcBorders/>
            <w:vAlign w:val="center"/>
          </w:tcPr>
          <w:p>
            <w:pPr>
              <w:pStyle w:val="TableContents"/>
              <w:bidi w:val="0"/>
              <w:spacing w:before="0" w:after="283"/>
              <w:jc w:val="both"/>
              <w:rPr/>
            </w:pPr>
            <w:r>
              <w:rPr/>
              <w:t> </w:t>
            </w:r>
          </w:p>
        </w:tc>
        <w:tc>
          <w:tcPr>
            <w:tcW w:w="464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632"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46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122.328 warrants udstedes på de i vedtægternes bilag 3 angivne vilkår, men således at disse warrants anses for optjent på tildelingstidspunktet.</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6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122,328 warrants are issued on the terms and conditions set out in Appendix 3 to the articles of association, however, these warrants shall be deemed vested on the grant date.</w:t>
            </w:r>
          </w:p>
        </w:tc>
      </w:tr>
      <w:tr>
        <w:trPr/>
        <w:tc>
          <w:tcPr>
            <w:tcW w:w="440" w:type="dxa"/>
            <w:tcBorders/>
            <w:vAlign w:val="center"/>
          </w:tcPr>
          <w:p>
            <w:pPr>
              <w:pStyle w:val="TableContents"/>
              <w:bidi w:val="0"/>
              <w:spacing w:before="0" w:after="283"/>
              <w:jc w:val="both"/>
              <w:rPr/>
            </w:pPr>
            <w:r>
              <w:rPr/>
              <w:t> </w:t>
            </w:r>
          </w:p>
        </w:tc>
        <w:tc>
          <w:tcPr>
            <w:tcW w:w="464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632"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46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61.560 warrants udstedes på de i vedtægternes bilag 5 angivne vilkår idet hver warrant giver ret til tegning af nominelt kr. 1 aktie mod kontant indbetaling af kr. 1, og således at optjening af warrants i henhold til bilag 5 regnes fra 1. januar 2020.</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6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61,560 warrants are issued on the terms and conditions set forth in appendix 5 to the articles of association. Each warrant confers the right to subscribe nominal DKK 1 share against cash payment of DKK 1 and vesting according to appendix 5 shall be calculated from 1 January 2020.</w:t>
            </w:r>
          </w:p>
        </w:tc>
      </w:tr>
      <w:tr>
        <w:trPr/>
        <w:tc>
          <w:tcPr>
            <w:tcW w:w="440" w:type="dxa"/>
            <w:tcBorders/>
            <w:vAlign w:val="center"/>
          </w:tcPr>
          <w:p>
            <w:pPr>
              <w:pStyle w:val="TableContents"/>
              <w:bidi w:val="0"/>
              <w:spacing w:before="0" w:after="283"/>
              <w:jc w:val="both"/>
              <w:rPr/>
            </w:pPr>
            <w:r>
              <w:rPr/>
              <w:t> </w:t>
            </w:r>
          </w:p>
        </w:tc>
        <w:tc>
          <w:tcPr>
            <w:tcW w:w="464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632"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46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19.008 warrants udstedes på de i vedtægternes bilag 5 angivne vilkår idet hver warrant giver ret til tegning af nominelt kr. 1 aktie mod kontant indbetaling af kr. 1, og således at optjening af warrants i henhold til bilag 5 regnes fra 1. maj 2020.</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6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19,008 warrants are issued on the terms and conditions set forth in appendix 5 to the articles of association. Each warrant confers the right to subscribe nominal DKK 1 share against cash payment of DKK 1 and vesting according to appendix 5 shall be calculated from 1 May 2020.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403"/>
        <w:gridCol w:w="60"/>
        <w:gridCol w:w="60"/>
        <w:gridCol w:w="4607"/>
      </w:tblGrid>
      <w:tr>
        <w:trPr/>
        <w:tc>
          <w:tcPr>
            <w:tcW w:w="75" w:type="dxa"/>
            <w:tcBorders/>
            <w:vAlign w:val="center"/>
          </w:tcPr>
          <w:p>
            <w:pPr>
              <w:pStyle w:val="TableContents"/>
              <w:bidi w:val="0"/>
              <w:spacing w:before="0" w:after="283"/>
              <w:jc w:val="both"/>
              <w:rPr/>
            </w:pPr>
            <w:r>
              <w:rPr/>
              <w:t> </w:t>
            </w:r>
          </w:p>
        </w:tc>
        <w:tc>
          <w:tcPr>
            <w:tcW w:w="540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150.660 warrants udstedes på de i vedtægternes bilag 5 angivne vilkår idet hver warrant giver ret til tegning af nominelt kr. 1 aktie mod kontant indbetaling af kr. 1, og således at optjening af warrants i henhold til bilag 5 regnes fra 1. oktober 2019.</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150,660 warrants are issued on the terms and conditions set forth in appendix 5 to the articles of association. Each warrant confers the right to subscribe nominal DKK 1 share against cash payment of DKK 1 and vesting according to appendix 5 shall be calculated from 1 October 2019.</w:t>
            </w:r>
          </w:p>
        </w:tc>
      </w:tr>
      <w:tr>
        <w:trPr/>
        <w:tc>
          <w:tcPr>
            <w:tcW w:w="75" w:type="dxa"/>
            <w:tcBorders/>
            <w:vAlign w:val="center"/>
          </w:tcPr>
          <w:p>
            <w:pPr>
              <w:pStyle w:val="TableContents"/>
              <w:bidi w:val="0"/>
              <w:spacing w:before="0" w:after="283"/>
              <w:jc w:val="both"/>
              <w:rPr/>
            </w:pPr>
            <w:r>
              <w:rPr/>
              <w:t> </w:t>
            </w:r>
          </w:p>
        </w:tc>
        <w:tc>
          <w:tcPr>
            <w:tcW w:w="540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0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0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120.024 warrants udstedes på de i vedtægternes bilag 5 angivne vilkår idet hver warrant giver ret til tegning af nominelt kr. 1 aktie mod kontant indbetaling af kr. 1, og således at warrants anses for optjent fuldt ud på tildelingstidspunktet. Herudover finder punkt 5 i bilag 5 ikke anvendelse.</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120,024 warrants are issued on the terms and conditions set forth in appendix 5 to the articles of association. Each warrant confers the right to subscribe nominal DKK 1 share against cash payment DKK 1 and all warrants shall be deemed vested on the grant date. Additionally, clause 5 of appendix 5 shall not apply.</w:t>
            </w:r>
          </w:p>
        </w:tc>
      </w:tr>
      <w:tr>
        <w:trPr/>
        <w:tc>
          <w:tcPr>
            <w:tcW w:w="75" w:type="dxa"/>
            <w:tcBorders/>
            <w:vAlign w:val="center"/>
          </w:tcPr>
          <w:p>
            <w:pPr>
              <w:pStyle w:val="TableContents"/>
              <w:bidi w:val="0"/>
              <w:spacing w:before="0" w:after="283"/>
              <w:jc w:val="both"/>
              <w:rPr/>
            </w:pPr>
            <w:r>
              <w:rPr/>
              <w:t> </w:t>
            </w:r>
          </w:p>
        </w:tc>
        <w:tc>
          <w:tcPr>
            <w:tcW w:w="540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0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40.752 warrants udstedes på de i vedtægternes bilag 5 angivne vilkår idet hver warrant giver ret til tegning af nominelt kr. 1 aktie mod kontant indbetaling af kr. 1, og således at warrants anses for optjent fuldt ud på tildelingstidspunktet.</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0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40,752 warrants are issued on the terms and conditions set forth in appendix 5 to the articles of association. Each warrant confers the right to subscribe nominal DKK 1 share against cash payment of DKK and all warrants shall be deemed vested on the grant date.</w:t>
            </w:r>
          </w:p>
        </w:tc>
      </w:tr>
      <w:tr>
        <w:trPr/>
        <w:tc>
          <w:tcPr>
            <w:tcW w:w="75" w:type="dxa"/>
            <w:tcBorders/>
            <w:vAlign w:val="center"/>
          </w:tcPr>
          <w:p>
            <w:pPr>
              <w:pStyle w:val="TableContents"/>
              <w:bidi w:val="0"/>
              <w:spacing w:before="0" w:after="283"/>
              <w:jc w:val="both"/>
              <w:rPr/>
            </w:pPr>
            <w:r>
              <w:rPr/>
              <w:t> </w:t>
            </w:r>
          </w:p>
        </w:tc>
        <w:tc>
          <w:tcPr>
            <w:tcW w:w="540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0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0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Samtidig har bestyrelsen truffet beslutning om den dertil hørende kapitalforhøjelse, således at selskabskapitalen kan forhøjes med op til 581.796 aktier. Selskabets kapitalejere skal ikke have fortegningsret til aktier, som udstedes ved udnyttelse af warrants. De nærmere vilkår for kapitalforhøjelsen fremgår ovenfor og af bilag 1-3 og 5.</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07" w:type="dxa"/>
            <w:tcBorders/>
            <w:vAlign w:val="center"/>
          </w:tcPr>
          <w:p>
            <w:pPr>
              <w:pStyle w:val="TableContents"/>
              <w:bidi w:val="0"/>
              <w:spacing w:before="0" w:after="283"/>
              <w:jc w:val="both"/>
              <w:rPr/>
            </w:pPr>
            <w:r>
              <w:rPr>
                <w:rFonts w:ascii="Times New Roman;Times;Serif" w:hAnsi="Times New Roman;Times;Serif"/>
                <w:sz w:val="20"/>
              </w:rPr>
              <w:t xml:space="preserve">At the same time the board of directors has decided upon the related capital increase, such that the capital of the company can be increased by up to 581,796 shares. The company's shareholders shall not have priority subscription rights to shares issued by the exercise of warrants. </w:t>
            </w:r>
            <w:r>
              <w:rPr>
                <w:rFonts w:ascii="Times New Roman;Times;Serif" w:hAnsi="Times New Roman;Times;Serif"/>
              </w:rPr>
              <w:t>The terms for this capital increase are also specified above and in appendices 1-3 and 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4807"/>
        <w:gridCol w:w="60"/>
        <w:gridCol w:w="425"/>
        <w:gridCol w:w="4473"/>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2.5.2</w:t>
            </w:r>
          </w:p>
        </w:tc>
        <w:tc>
          <w:tcPr>
            <w:tcW w:w="48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en tidligere i punkt 2.5 indeholdt bemyndigelse fra generalforsamlingen har bestyrelsen den 17. december 2020 tildelt og udstedt 175.824 stk. warrants, hver med ret til at tegne en aktie med pålydende DKK 1,00. Tildelingen af warrants sker vederlagsfrit.</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2.5.2</w:t>
            </w:r>
          </w:p>
        </w:tc>
        <w:tc>
          <w:tcPr>
            <w:tcW w:w="44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a previous authorization from the general meeting set out in clause 2.5, the board of directors has on 17 December 2020 granted and issued 175,824 warrants. Each warrant entitles the holder to subscribe for one share in the company with a nominal value of DKK 1.00. The grant of the warrants shall not be subject to payment from the holders.</w:t>
            </w:r>
          </w:p>
        </w:tc>
      </w:tr>
      <w:tr>
        <w:trPr/>
        <w:tc>
          <w:tcPr>
            <w:tcW w:w="440" w:type="dxa"/>
            <w:tcBorders/>
            <w:vAlign w:val="center"/>
          </w:tcPr>
          <w:p>
            <w:pPr>
              <w:pStyle w:val="TableContents"/>
              <w:bidi w:val="0"/>
              <w:spacing w:before="0" w:after="283"/>
              <w:jc w:val="both"/>
              <w:rPr/>
            </w:pPr>
            <w:r>
              <w:rPr/>
              <w:t> </w:t>
            </w:r>
          </w:p>
        </w:tc>
        <w:tc>
          <w:tcPr>
            <w:tcW w:w="480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473"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480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 således udstedte warrants udstedes på de i bilag 5 angivne vilkår, dog således at 90.216 warrants optjenes fra og med 1. januar 2021 og 6.084 warrants optjenes fra og med 1. januar 2020, 79.524 warrants anses for optjent på tildelingstidspunktet.</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4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terms and conditions with respect to the granted warrants are as set forth in appendix 5, however, 90,216 warrants start vesting from 1 January 2021 and 6,084 warrants start vesting from 1 January 2020, 79,524 shall be deemed vested as of the grant date.</w:t>
            </w:r>
          </w:p>
        </w:tc>
      </w:tr>
      <w:tr>
        <w:trPr/>
        <w:tc>
          <w:tcPr>
            <w:tcW w:w="440" w:type="dxa"/>
            <w:tcBorders/>
            <w:vAlign w:val="center"/>
          </w:tcPr>
          <w:p>
            <w:pPr>
              <w:pStyle w:val="TableContents"/>
              <w:bidi w:val="0"/>
              <w:spacing w:before="0" w:after="283"/>
              <w:jc w:val="both"/>
              <w:rPr/>
            </w:pPr>
            <w:r>
              <w:rPr/>
              <w:t> </w:t>
            </w:r>
          </w:p>
        </w:tc>
        <w:tc>
          <w:tcPr>
            <w:tcW w:w="480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473"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480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Samtidig har bestyrelsen truffet beslutning om den dertil hørende kapitalforhøjelse, således at selskabskapitalen kan forhøjes med op til 175.824 aktier. Selskabets kapitalejere skal ikke have fortegningsret til aktier, som udstedes ved udnyttelse af warrants. De nærmere vilkår for kapitalforhøjelsen fremgår ovenfor og af bilag 1-3 og 5.</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4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the same time the board of directors has decided upon the related capital increase, such that the capital of the company can be increased by up to 175,824 shares. The company's shareholders shall not have priority subscription rights to shares issued by the exercise of warrants. The terms for this capital increase are also specified above and in appendices 1-3 and 5.</w:t>
            </w:r>
          </w:p>
        </w:tc>
      </w:tr>
      <w:tr>
        <w:trPr/>
        <w:tc>
          <w:tcPr>
            <w:tcW w:w="440" w:type="dxa"/>
            <w:tcBorders/>
            <w:vAlign w:val="center"/>
          </w:tcPr>
          <w:p>
            <w:pPr>
              <w:pStyle w:val="TableContents"/>
              <w:bidi w:val="0"/>
              <w:spacing w:before="0" w:after="283"/>
              <w:jc w:val="both"/>
              <w:rPr/>
            </w:pPr>
            <w:r>
              <w:rPr/>
              <w:t> </w:t>
            </w:r>
          </w:p>
        </w:tc>
        <w:tc>
          <w:tcPr>
            <w:tcW w:w="480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473"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2.5.3</w:t>
            </w:r>
          </w:p>
        </w:tc>
        <w:tc>
          <w:tcPr>
            <w:tcW w:w="4807" w:type="dxa"/>
            <w:tcBorders/>
            <w:vAlign w:val="center"/>
          </w:tcPr>
          <w:p>
            <w:pPr>
              <w:pStyle w:val="TableContents"/>
              <w:bidi w:val="0"/>
              <w:spacing w:before="0" w:after="283"/>
              <w:jc w:val="both"/>
              <w:rPr/>
            </w:pPr>
            <w:r>
              <w:rPr>
                <w:rFonts w:ascii="Times New Roman;Times;Serif" w:hAnsi="Times New Roman;Times;Serif"/>
                <w:sz w:val="20"/>
              </w:rPr>
              <w:t xml:space="preserve">I henhold til bemyndigelse fra generalforsamlingen i vedtægternes punkt 2.5 og på de i bilag 5 angivne vilkår har bestyrelsen den 17. juni 2021 tildelt og den 21. oktober 2021 formelt udstedt i alt 62.147 warrants og truffet beslutning om den til disse warrants hørende forhøjelse af selskabets aktiekapital, dog således at optjening af warrants i henhold til bilag 5 regnes fra den 1. april 2021. Bemyndigelsen </w:t>
            </w:r>
            <w:r>
              <w:rPr>
                <w:rFonts w:ascii="Times New Roman;Times;Serif" w:hAnsi="Times New Roman;Times;Serif"/>
              </w:rPr>
              <w:t>i pkt. 2.5 er herefter nedsat til nominelt DKK 1.437.853.</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2.5.3</w:t>
            </w:r>
          </w:p>
        </w:tc>
        <w:tc>
          <w:tcPr>
            <w:tcW w:w="4473" w:type="dxa"/>
            <w:tcBorders/>
            <w:vAlign w:val="center"/>
          </w:tcPr>
          <w:p>
            <w:pPr>
              <w:pStyle w:val="TableContents"/>
              <w:bidi w:val="0"/>
              <w:spacing w:before="0" w:after="283"/>
              <w:jc w:val="both"/>
              <w:rPr/>
            </w:pPr>
            <w:r>
              <w:rPr>
                <w:rFonts w:ascii="Times New Roman;Times;Serif" w:hAnsi="Times New Roman;Times;Serif"/>
                <w:sz w:val="20"/>
              </w:rPr>
              <w:t xml:space="preserve">Pursuant to the authorization from the general meeting set out in article 2.5 of the articles of association and on the terms of appendix 5, the board of directors has on 17 June 2021 granted, and on 21 October 2021 formally issued, 62,147 warrants and resolved to carry out the increase of the company's share capital relating to the warrants, provided, however, that vesting according to appendix 5 shall </w:t>
            </w:r>
            <w:r>
              <w:rPr>
                <w:rFonts w:ascii="Times New Roman;Times;Serif" w:hAnsi="Times New Roman;Times;Serif"/>
              </w:rPr>
              <w:t>be calculated from 1 April 2021. The authorization in article 2.5 is hereafter reduced to 1,437,853.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
        <w:gridCol w:w="5171"/>
        <w:gridCol w:w="60"/>
        <w:gridCol w:w="95"/>
        <w:gridCol w:w="4784"/>
      </w:tblGrid>
      <w:tr>
        <w:trPr/>
        <w:tc>
          <w:tcPr>
            <w:tcW w:w="95" w:type="dxa"/>
            <w:tcBorders/>
            <w:vAlign w:val="center"/>
          </w:tcPr>
          <w:p>
            <w:pPr>
              <w:pStyle w:val="TableContents"/>
              <w:bidi w:val="0"/>
              <w:spacing w:before="0" w:after="283"/>
              <w:jc w:val="both"/>
              <w:rPr/>
            </w:pPr>
            <w:r>
              <w:rPr/>
              <w:t> </w:t>
            </w:r>
          </w:p>
        </w:tc>
        <w:tc>
          <w:tcPr>
            <w:tcW w:w="51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Hver warrant giver ret til tegning af én ordinær aktie á nominelt DKK 1,00 i selskabet til en tegningspris på DKK 1,00, dog således at regulerings-mekanismerne i punkt 6 i vedtægternes bilag 5 kan resultere i et andet antal aktier og/eller en anden tegningskurs.</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78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warrant confers the right to subscribe for one ordinary share of nominal DKK 1.00 in the company at a subscription price of DKK 1.00, provided, however, that the adjustment mechanisms in clause 6 of appendix 5 to the articles of association may result in a different number of shares and/or a different subscription price.</w:t>
            </w:r>
          </w:p>
        </w:tc>
      </w:tr>
      <w:tr>
        <w:trPr/>
        <w:tc>
          <w:tcPr>
            <w:tcW w:w="95" w:type="dxa"/>
            <w:tcBorders/>
            <w:vAlign w:val="center"/>
          </w:tcPr>
          <w:p>
            <w:pPr>
              <w:pStyle w:val="TableContents"/>
              <w:bidi w:val="0"/>
              <w:spacing w:before="0" w:after="283"/>
              <w:jc w:val="both"/>
              <w:rPr/>
            </w:pPr>
            <w:r>
              <w:rPr/>
              <w:t> </w:t>
            </w:r>
          </w:p>
        </w:tc>
        <w:tc>
          <w:tcPr>
            <w:tcW w:w="517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784"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pPr>
            <w:r>
              <w:rPr/>
              <w:t> </w:t>
            </w:r>
          </w:p>
        </w:tc>
        <w:tc>
          <w:tcPr>
            <w:tcW w:w="51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7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warrants and subsequent subscription of shares by exercise of the warrants:</w:t>
            </w:r>
          </w:p>
        </w:tc>
      </w:tr>
      <w:tr>
        <w:trPr/>
        <w:tc>
          <w:tcPr>
            <w:tcW w:w="95" w:type="dxa"/>
            <w:tcBorders/>
            <w:vAlign w:val="center"/>
          </w:tcPr>
          <w:p>
            <w:pPr>
              <w:pStyle w:val="TableContents"/>
              <w:bidi w:val="0"/>
              <w:spacing w:before="0" w:after="283"/>
              <w:jc w:val="both"/>
              <w:rPr/>
            </w:pPr>
            <w:r>
              <w:rPr/>
              <w:t> </w:t>
            </w:r>
          </w:p>
        </w:tc>
        <w:tc>
          <w:tcPr>
            <w:tcW w:w="517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784"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1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mindste og det højeste beløb, hvormed aktiekapitalen skal kunne forhøjes på baggrund af de udstedte warrants, udgør henholdsvis nominelt DKK 1 og DKK 62.147, dog således at reguleringsmekanismerne i punkt 6 i vedtægternes bilag 5 kan resultere i et andet beløb.</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478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minimum and the maximum nominal amount of the capital increase(s) that can be subscribed for on the basis of the warrants is DKK 1 and DKK 62,147, respectively, provided, however, that the adjustment mechanisms in clause 6 of appendix 5 to the articles of association.</w:t>
            </w:r>
          </w:p>
        </w:tc>
      </w:tr>
      <w:tr>
        <w:trPr/>
        <w:tc>
          <w:tcPr>
            <w:tcW w:w="95" w:type="dxa"/>
            <w:tcBorders/>
            <w:vAlign w:val="center"/>
          </w:tcPr>
          <w:p>
            <w:pPr>
              <w:pStyle w:val="TableContents"/>
              <w:bidi w:val="0"/>
              <w:spacing w:before="0" w:after="283"/>
              <w:jc w:val="both"/>
              <w:rPr/>
            </w:pPr>
            <w:r>
              <w:rPr/>
              <w:t> </w:t>
            </w:r>
          </w:p>
        </w:tc>
        <w:tc>
          <w:tcPr>
            <w:tcW w:w="517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784"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1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Tegningskursen for kapitalforhøjelsen er fastsat til DKK 1,00 pr. aktie á nominelt DKK 1, dog således at reguleringsmekanismerne i punkt 6 i vedtægternes bilag 5 kan resultere i en anden kurs.</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478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will be made at a subscription price of DKK 1.00 per share of nominal DKK 1.00, provided however that the adjustment mechanisms in clause 6 of appendix 5 to the articles of association may result in a different subscription price.</w:t>
            </w:r>
          </w:p>
        </w:tc>
      </w:tr>
      <w:tr>
        <w:trPr/>
        <w:tc>
          <w:tcPr>
            <w:tcW w:w="95" w:type="dxa"/>
            <w:tcBorders/>
            <w:vAlign w:val="center"/>
          </w:tcPr>
          <w:p>
            <w:pPr>
              <w:pStyle w:val="TableContents"/>
              <w:bidi w:val="0"/>
              <w:spacing w:before="0" w:after="283"/>
              <w:jc w:val="both"/>
              <w:rPr/>
            </w:pPr>
            <w:r>
              <w:rPr/>
              <w:t> </w:t>
            </w:r>
          </w:p>
        </w:tc>
        <w:tc>
          <w:tcPr>
            <w:tcW w:w="517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784"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pPr>
            <w:r>
              <w:rPr/>
              <w:t> </w:t>
            </w:r>
          </w:p>
        </w:tc>
        <w:tc>
          <w:tcPr>
            <w:tcW w:w="5171" w:type="dxa"/>
            <w:tcBorders/>
            <w:vAlign w:val="center"/>
          </w:tcPr>
          <w:p>
            <w:pPr>
              <w:pStyle w:val="TableContents"/>
              <w:bidi w:val="0"/>
              <w:spacing w:before="0" w:after="283"/>
              <w:jc w:val="both"/>
              <w:rPr/>
            </w:pPr>
            <w:r>
              <w:rPr>
                <w:rFonts w:ascii="Times New Roman;Times;Serif" w:hAnsi="Times New Roman;Times;Serif"/>
                <w:sz w:val="20"/>
              </w:rPr>
              <w:t xml:space="preserve">De anslåede omkostninger, der skal afholdes af selskabet ved kapitalforhøjelsen, </w:t>
            </w:r>
            <w:r>
              <w:rPr>
                <w:rFonts w:ascii="Times New Roman;Times;Serif" w:hAnsi="Times New Roman;Times;Serif"/>
              </w:rPr>
              <w:t>udgør DKK 10.000 (ekskl. moms).</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78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costs in connection with the capital increase to be borne by the company are approx. DKK 10,000 (excluding VAT).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5084"/>
        <w:gridCol w:w="60"/>
        <w:gridCol w:w="425"/>
        <w:gridCol w:w="4196"/>
      </w:tblGrid>
      <w:tr>
        <w:trPr/>
        <w:tc>
          <w:tcPr>
            <w:tcW w:w="440" w:type="dxa"/>
            <w:tcBorders/>
            <w:vAlign w:val="center"/>
          </w:tcPr>
          <w:p>
            <w:pPr>
              <w:pStyle w:val="TableContents"/>
              <w:bidi w:val="0"/>
              <w:spacing w:before="0" w:after="283"/>
              <w:jc w:val="both"/>
              <w:rPr/>
            </w:pPr>
            <w:r>
              <w:rPr/>
              <w:t> </w:t>
            </w:r>
          </w:p>
        </w:tc>
        <w:tc>
          <w:tcPr>
            <w:tcW w:w="508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Øvrige vilkår for de udstedte warrants og den senere tegning af aktier ved udnyttelse af disse warrants fremgår af vedtægternes bilag 5.</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1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Additional terms and conditions applicable to the granted warrants and subsequent subscription of shares by exercise of the warrants are set forth in appendix 5 to the articles of association.</w:t>
            </w:r>
          </w:p>
        </w:tc>
      </w:tr>
      <w:tr>
        <w:trPr/>
        <w:tc>
          <w:tcPr>
            <w:tcW w:w="440" w:type="dxa"/>
            <w:tcBorders/>
            <w:vAlign w:val="center"/>
          </w:tcPr>
          <w:p>
            <w:pPr>
              <w:pStyle w:val="TableContents"/>
              <w:bidi w:val="0"/>
              <w:spacing w:before="0" w:after="283"/>
              <w:jc w:val="both"/>
              <w:rPr/>
            </w:pPr>
            <w:r>
              <w:rPr/>
              <w:t> </w:t>
            </w:r>
          </w:p>
        </w:tc>
        <w:tc>
          <w:tcPr>
            <w:tcW w:w="508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196"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2.5.4</w:t>
            </w:r>
          </w:p>
        </w:tc>
        <w:tc>
          <w:tcPr>
            <w:tcW w:w="50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bemyndigelse fra generalforsamlingen i vedtægternes punkt 2.5 har bestyrelsen den 7. december 2021 tildelt og udstedt i alt 523.599 warrants og truffet beslutning om den til disse warrants hørende forhøjelse af selskabets aktiekapital. Warrants udstedes i øvrigt på de i bilag 5 angivne vilkår dog således 500.683 warrants optjenes med 1/36 pr. md. fra og med 1. januar 2022 og 22.916 warrants anses for fuldt optjent på udstedelsestidspunktet. Bemyndigelsen i pkt. 2.5 er herefter nedsat til nominelt DKK 914.254.</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2.5.4</w:t>
            </w:r>
          </w:p>
        </w:tc>
        <w:tc>
          <w:tcPr>
            <w:tcW w:w="41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authorization from the general meeting set out in article 2.5 of the articles of association the board of directors has on 7 December 2021 granted and issued 523,599 and resolved to carry out the increase of the company's share capital relating to the warrants. The warrants are issued on the terms and conditions set out in appendix 5 provided, however, that 500,683 warrants vest with 1/36 per month from 1 January 2022 and 22,916 warrants shall be deemed fully vested at the time of issuance. The authorization in article 2.5 is hereafter reduced to 914,254.</w:t>
            </w:r>
          </w:p>
        </w:tc>
      </w:tr>
      <w:tr>
        <w:trPr/>
        <w:tc>
          <w:tcPr>
            <w:tcW w:w="440" w:type="dxa"/>
            <w:tcBorders/>
            <w:vAlign w:val="center"/>
          </w:tcPr>
          <w:p>
            <w:pPr>
              <w:pStyle w:val="TableContents"/>
              <w:bidi w:val="0"/>
              <w:spacing w:before="0" w:after="283"/>
              <w:jc w:val="both"/>
              <w:rPr/>
            </w:pPr>
            <w:r>
              <w:rPr/>
              <w:t> </w:t>
            </w:r>
          </w:p>
        </w:tc>
        <w:tc>
          <w:tcPr>
            <w:tcW w:w="508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196"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508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Hver warrant giver ret til tegning af én ordinær aktie á nominelt DKK 1,00 i selskabet til en tegningspris på USD 5,38, dog således at regulerings-mekanismerne i punkt 6 i vedtægternes bilag 5 kan resultere i et andet antal aktier og/eller en anden tegningskurs.</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1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warrant confers the right to subscribe for one ordinary share of nominal DKK 1.00 in the company at a subscription price of USD 5.38, provided, however, that the adjustment mechanisms in clause 6 of appendix 5 to the articles of association may result in a different number of shares and/or a different subscription price.</w:t>
            </w:r>
          </w:p>
        </w:tc>
      </w:tr>
      <w:tr>
        <w:trPr/>
        <w:tc>
          <w:tcPr>
            <w:tcW w:w="440" w:type="dxa"/>
            <w:tcBorders/>
            <w:vAlign w:val="center"/>
          </w:tcPr>
          <w:p>
            <w:pPr>
              <w:pStyle w:val="TableContents"/>
              <w:bidi w:val="0"/>
              <w:spacing w:before="0" w:after="283"/>
              <w:jc w:val="both"/>
              <w:rPr/>
            </w:pPr>
            <w:r>
              <w:rPr/>
              <w:t> </w:t>
            </w:r>
          </w:p>
        </w:tc>
        <w:tc>
          <w:tcPr>
            <w:tcW w:w="508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196"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508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1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warrants and subsequent subscription of shares by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5"/>
        <w:gridCol w:w="5069"/>
        <w:gridCol w:w="60"/>
        <w:gridCol w:w="500"/>
        <w:gridCol w:w="4061"/>
      </w:tblGrid>
      <w:tr>
        <w:trPr/>
        <w:tc>
          <w:tcPr>
            <w:tcW w:w="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0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mindste og det højeste beløb, hvormed aktiekapitalen skal kunne forhøjes på baggrund af de udstedte warrants, udgør henholdsvis nominelt DKK 1 og DKK 523.599, dog således at reguleringsmekanismerne i punkt 6 i vedtægternes bilag 5 kan resultere i et andet beløb.</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0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minimum and the maximum nominal amount of the capital increase(s) that can be subscribed for on the basis of the warrants is DKK 1 and DKK 523,599, respectively, provided, however, that the adjustment mechanisms in clause 6 of appendix 5 to the articles of association.</w:t>
            </w:r>
          </w:p>
        </w:tc>
      </w:tr>
      <w:tr>
        <w:trPr/>
        <w:tc>
          <w:tcPr>
            <w:tcW w:w="515" w:type="dxa"/>
            <w:tcBorders/>
            <w:vAlign w:val="center"/>
          </w:tcPr>
          <w:p>
            <w:pPr>
              <w:pStyle w:val="TableContents"/>
              <w:bidi w:val="0"/>
              <w:spacing w:before="0" w:after="283"/>
              <w:jc w:val="both"/>
              <w:rPr/>
            </w:pPr>
            <w:r>
              <w:rPr/>
              <w:t> </w:t>
            </w:r>
          </w:p>
        </w:tc>
        <w:tc>
          <w:tcPr>
            <w:tcW w:w="506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4061"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506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Tegningskursen for kapitalforhøjelsen er fastsat til USD 5,38 pr. aktie á nominelt DKK 1, dog således at reguleringsmekanismerne i punkt 6 i vedtægternes bilag 5 kan resultere i en anden kurs.</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40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will be made at a subscription price of USD 5.38 per share of nominal DKK 1.00, provided however that the adjustment mechanisms in clause 6 of appendix 5 to the articles of association may result in a different subscription price.</w:t>
            </w:r>
          </w:p>
        </w:tc>
      </w:tr>
      <w:tr>
        <w:trPr/>
        <w:tc>
          <w:tcPr>
            <w:tcW w:w="515" w:type="dxa"/>
            <w:tcBorders/>
            <w:vAlign w:val="center"/>
          </w:tcPr>
          <w:p>
            <w:pPr>
              <w:pStyle w:val="TableContents"/>
              <w:bidi w:val="0"/>
              <w:spacing w:before="0" w:after="283"/>
              <w:jc w:val="both"/>
              <w:rPr/>
            </w:pPr>
            <w:r>
              <w:rPr/>
              <w:t> </w:t>
            </w:r>
          </w:p>
        </w:tc>
        <w:tc>
          <w:tcPr>
            <w:tcW w:w="506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4061"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0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10.000 (ekskl. moms).</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40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costs in connection with the capital increase to be borne by the company are approx. DKK 10,000 (excluding VAT).</w:t>
            </w:r>
          </w:p>
        </w:tc>
      </w:tr>
      <w:tr>
        <w:trPr/>
        <w:tc>
          <w:tcPr>
            <w:tcW w:w="515" w:type="dxa"/>
            <w:tcBorders/>
            <w:vAlign w:val="center"/>
          </w:tcPr>
          <w:p>
            <w:pPr>
              <w:pStyle w:val="TableContents"/>
              <w:bidi w:val="0"/>
              <w:spacing w:before="0" w:after="283"/>
              <w:jc w:val="both"/>
              <w:rPr/>
            </w:pPr>
            <w:r>
              <w:rPr/>
              <w:t> </w:t>
            </w:r>
          </w:p>
        </w:tc>
        <w:tc>
          <w:tcPr>
            <w:tcW w:w="506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4061"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 </w:t>
            </w:r>
          </w:p>
        </w:tc>
        <w:tc>
          <w:tcPr>
            <w:tcW w:w="506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Øvrige vilkår for de udstedte warrants og den senere tegning af aktier ved udnyttelse af disse warrants fremgår af vedtægternes bilag 5.</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40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Additional terms and conditions applicable to the granted warrants and subsequent subscription of shares by exercise of the warrants are set forth in appendix 5 to the articles of association</w:t>
            </w:r>
          </w:p>
        </w:tc>
      </w:tr>
      <w:tr>
        <w:trPr/>
        <w:tc>
          <w:tcPr>
            <w:tcW w:w="515" w:type="dxa"/>
            <w:tcBorders/>
            <w:vAlign w:val="center"/>
          </w:tcPr>
          <w:p>
            <w:pPr>
              <w:pStyle w:val="TableContents"/>
              <w:bidi w:val="0"/>
              <w:spacing w:before="0" w:after="283"/>
              <w:jc w:val="both"/>
              <w:rPr/>
            </w:pPr>
            <w:r>
              <w:rPr/>
              <w:t> </w:t>
            </w:r>
          </w:p>
        </w:tc>
        <w:tc>
          <w:tcPr>
            <w:tcW w:w="506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4061"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2.5.5</w:t>
            </w:r>
          </w:p>
        </w:tc>
        <w:tc>
          <w:tcPr>
            <w:tcW w:w="506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henhold til bemyndigelse fra generalforsamlingen i vedtægternes punkt 2.5 har bestyrelsen den 11. marts 2022 tildelt og udstedt i alt 35.000 warrants og truffet beslutning om den til disse warrants hørende forhøjelse af selskabets aktiekapital. Warrants udstedes i øvrigt på de i bilag 5 angivne vilkår dog således 35.000 warrants optjenes med 1/36 pr. md. fra og med 1. april 2022. Bemyndigelsen i pkt. 2.5 er herefter nedsat til nominelt DKK 879.254.</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2.5.5</w:t>
            </w:r>
          </w:p>
        </w:tc>
        <w:tc>
          <w:tcPr>
            <w:tcW w:w="40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Pursuant to the authorization from the general meeting set out in article 2.5 of </w:t>
            </w:r>
            <w:r>
              <w:rPr>
                <w:rFonts w:ascii="Times New Roman;Times;Serif" w:hAnsi="Times New Roman;Times;Serif"/>
                <w:sz w:val="20"/>
              </w:rPr>
              <w:t>the articles of association the board of di</w:t>
            </w:r>
            <w:r>
              <w:rPr>
                <w:rFonts w:ascii="Times New Roman;Times;Serif" w:hAnsi="Times New Roman;Times;Serif"/>
              </w:rPr>
              <w:t>rectors has on March 11, 2022 granted and issued 35.000 and resolved to carry out the increase of the company's share capital relating to the warrants. The war</w:t>
            </w:r>
            <w:r>
              <w:rPr>
                <w:rFonts w:ascii="Times New Roman;Times;Serif" w:hAnsi="Times New Roman;Times;Serif"/>
                <w:sz w:val="20"/>
              </w:rPr>
              <w:t>rants are issued on the terms and conditions set out in appendix 5 provided, howe</w:t>
            </w:r>
            <w:r>
              <w:rPr>
                <w:rFonts w:ascii="Times New Roman;Times;Serif" w:hAnsi="Times New Roman;Times;Serif"/>
              </w:rPr>
              <w:t xml:space="preserve">ver, that 35,000 warrants vest with 1/36 </w:t>
            </w:r>
            <w:r>
              <w:rPr>
                <w:rFonts w:ascii="Times New Roman;Times;Serif" w:hAnsi="Times New Roman;Times;Serif"/>
                <w:sz w:val="20"/>
              </w:rPr>
              <w:t xml:space="preserve">per month from April 1, 2022. The authorization in article 2.5 is hereafter reduced </w:t>
            </w:r>
            <w:r>
              <w:rPr>
                <w:rFonts w:ascii="Times New Roman;Times;Serif" w:hAnsi="Times New Roman;Times;Serif"/>
              </w:rPr>
              <w:t>to 879,254.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4947"/>
        <w:gridCol w:w="60"/>
        <w:gridCol w:w="95"/>
        <w:gridCol w:w="4993"/>
      </w:tblGrid>
      <w:tr>
        <w:trPr/>
        <w:tc>
          <w:tcPr>
            <w:tcW w:w="110" w:type="dxa"/>
            <w:tcBorders/>
            <w:vAlign w:val="center"/>
          </w:tcPr>
          <w:p>
            <w:pPr>
              <w:pStyle w:val="TableContents"/>
              <w:bidi w:val="0"/>
              <w:spacing w:before="0" w:after="283"/>
              <w:jc w:val="both"/>
              <w:rPr/>
            </w:pPr>
            <w:r>
              <w:rPr/>
              <w:t> </w:t>
            </w:r>
          </w:p>
        </w:tc>
        <w:tc>
          <w:tcPr>
            <w:tcW w:w="4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Hver warrant giver ret til tegning af én ordinær aktie á nominelt DKK 1,00 i selskabet til en tegningspris på USD 2,96, dog således at reguleringsmekanismerne i punkt 6 i vedtægternes bilag 5 kan resultere i et andet antal aktier og/eller en anden tegningskurs.</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9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warrant confers the right to subscribe for one ordinary share of nominal DKK 1.00 in the company at a subscription price of USD 2.96, provided, however, that the adjustment mechanisms in clause 6 of appendix 5 to the articles of association may result in a different number of shares and/or a different subscription price.</w:t>
            </w:r>
          </w:p>
        </w:tc>
      </w:tr>
      <w:tr>
        <w:trPr/>
        <w:tc>
          <w:tcPr>
            <w:tcW w:w="110" w:type="dxa"/>
            <w:tcBorders/>
            <w:vAlign w:val="center"/>
          </w:tcPr>
          <w:p>
            <w:pPr>
              <w:pStyle w:val="TableContents"/>
              <w:bidi w:val="0"/>
              <w:spacing w:before="0" w:after="283"/>
              <w:jc w:val="both"/>
              <w:rPr/>
            </w:pPr>
            <w:r>
              <w:rPr/>
              <w:t> </w:t>
            </w:r>
          </w:p>
        </w:tc>
        <w:tc>
          <w:tcPr>
            <w:tcW w:w="494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993"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both"/>
              <w:rPr/>
            </w:pPr>
            <w:r>
              <w:rPr/>
              <w:t> </w:t>
            </w:r>
          </w:p>
        </w:tc>
        <w:tc>
          <w:tcPr>
            <w:tcW w:w="49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warrants and subsequent subscription of shares by exercise of the warrants:</w:t>
            </w:r>
          </w:p>
        </w:tc>
      </w:tr>
      <w:tr>
        <w:trPr/>
        <w:tc>
          <w:tcPr>
            <w:tcW w:w="110" w:type="dxa"/>
            <w:tcBorders/>
            <w:vAlign w:val="center"/>
          </w:tcPr>
          <w:p>
            <w:pPr>
              <w:pStyle w:val="TableContents"/>
              <w:bidi w:val="0"/>
              <w:spacing w:before="0" w:after="283"/>
              <w:jc w:val="both"/>
              <w:rPr/>
            </w:pPr>
            <w:r>
              <w:rPr/>
              <w:t> </w:t>
            </w:r>
          </w:p>
        </w:tc>
        <w:tc>
          <w:tcPr>
            <w:tcW w:w="494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993"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mindste og det højeste beløb, hvormed aktiekapitalen skal kunne forhøjes på baggrund af de udstedte warrants, udgør henholdsvis nominelt DKK 1 og DKK 35.000, dog således at reguleringsmekanismerne i punkt 6 i vedtægternes bilag 5 kan resultere i et andet beløb.</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minimum and the maximum nominal amount of the capital increase(s) that can be subscribed for on the basis of the warrants is DKK 1 and DKK 35,000, respectively, provided, however, that the adjustment mechanisms in clause 6 of appendix 5 to the articles of association.</w:t>
            </w:r>
          </w:p>
        </w:tc>
      </w:tr>
      <w:tr>
        <w:trPr/>
        <w:tc>
          <w:tcPr>
            <w:tcW w:w="110" w:type="dxa"/>
            <w:tcBorders/>
            <w:vAlign w:val="center"/>
          </w:tcPr>
          <w:p>
            <w:pPr>
              <w:pStyle w:val="TableContents"/>
              <w:bidi w:val="0"/>
              <w:spacing w:before="0" w:after="283"/>
              <w:jc w:val="both"/>
              <w:rPr/>
            </w:pPr>
            <w:r>
              <w:rPr/>
              <w:t> </w:t>
            </w:r>
          </w:p>
        </w:tc>
        <w:tc>
          <w:tcPr>
            <w:tcW w:w="494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993"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49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Tegningskursen for kapitalforhøjelsen er fastsat til USD 2,96 pr. aktie á nominelt DKK 1, dog således at reguleringsmekanismerne i punkt 6 i vedtægternes bilag 5 kan resultere i en anden kurs.</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49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will be made at a subscription price of USD 2.96 per share of nominal DKK 1.00, provided however that the adjustment mechanisms in clause 6 of appendix 5 to the articles of association may result in a different subscription price.</w:t>
            </w:r>
          </w:p>
        </w:tc>
      </w:tr>
      <w:tr>
        <w:trPr/>
        <w:tc>
          <w:tcPr>
            <w:tcW w:w="110" w:type="dxa"/>
            <w:tcBorders/>
            <w:vAlign w:val="center"/>
          </w:tcPr>
          <w:p>
            <w:pPr>
              <w:pStyle w:val="TableContents"/>
              <w:bidi w:val="0"/>
              <w:spacing w:before="0" w:after="283"/>
              <w:jc w:val="both"/>
              <w:rPr/>
            </w:pPr>
            <w:r>
              <w:rPr/>
              <w:t> </w:t>
            </w:r>
          </w:p>
        </w:tc>
        <w:tc>
          <w:tcPr>
            <w:tcW w:w="494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993"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10.000 (ekskl. moms).</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49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costs in connection with the capital increase to be borne by the company are approx. DKK 10,000 (excluding VAT).</w:t>
            </w:r>
          </w:p>
        </w:tc>
      </w:tr>
      <w:tr>
        <w:trPr/>
        <w:tc>
          <w:tcPr>
            <w:tcW w:w="110" w:type="dxa"/>
            <w:tcBorders/>
            <w:vAlign w:val="center"/>
          </w:tcPr>
          <w:p>
            <w:pPr>
              <w:pStyle w:val="TableContents"/>
              <w:bidi w:val="0"/>
              <w:spacing w:before="0" w:after="283"/>
              <w:jc w:val="both"/>
              <w:rPr/>
            </w:pPr>
            <w:r>
              <w:rPr/>
              <w:t> </w:t>
            </w:r>
          </w:p>
        </w:tc>
        <w:tc>
          <w:tcPr>
            <w:tcW w:w="494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993"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both"/>
              <w:rPr/>
            </w:pPr>
            <w:r>
              <w:rPr/>
              <w:t> </w:t>
            </w:r>
          </w:p>
        </w:tc>
        <w:tc>
          <w:tcPr>
            <w:tcW w:w="49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Øvrige vilkår for de udstedte warrants og den senere tegning af aktier ved udnyttelse af disse warrants fremgår af vedtægternes bilag 5.</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9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Additional terms and conditions applicable to the granted warrants and subsequent subscription of shares by exercise of the warrants are set forth in appendix 5 to the articles of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4691"/>
        <w:gridCol w:w="60"/>
        <w:gridCol w:w="500"/>
        <w:gridCol w:w="4514"/>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2.5.6</w:t>
            </w:r>
          </w:p>
        </w:tc>
        <w:tc>
          <w:tcPr>
            <w:tcW w:w="46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bemyndigelse fra generalforsamlingen i vedtægternes punkt 2.5 har bestyrelsen den 14. juni 2022 tildelt og udstedt i alt 65.000 warrants og truffet beslutning om den til disse warrants hørende forhøjelse af selskabets aktiekapital. Warrants udstedes i øvrigt på de i bilag 5 angivne vilkår dog således at 10.000 warrants optjenes med 1/36 pr. md. fra og med 1. februar 2022, 10.000 warrants optjenes med 1/36 pr. md. fra og med 1. april 2022 og 45.000 warrants optjenes med 1/36 pr. md. fra og med 1. juni 2022. Bemyndigelsen i pkt. 2.5 er herefter nedsat til nominelt DKK 814.254.</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2.5.6</w:t>
            </w:r>
          </w:p>
        </w:tc>
        <w:tc>
          <w:tcPr>
            <w:tcW w:w="451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Pursuant to the authorization from the general meeting set out in article 2.5 of the articles of association the board of directors has on June 14, 2022 granted and issued 65,000 and resolved to carry out the increase of the company's share capital relating to the warrants. The warrants are issued on the terms and conditions set out in appendix 5 provided, however, that 10,000 warrants vest with 1/36 per month from February 1, 2022, 10,000 warrants vest with 1/36 per month from April 1, 2022 and 45,000 warrants vest with 1/36 per month from June 1, 2022. The authorization in article 2.5 is hereafter reduced to 814,254.</w:t>
            </w:r>
          </w:p>
        </w:tc>
      </w:tr>
      <w:tr>
        <w:trPr/>
        <w:tc>
          <w:tcPr>
            <w:tcW w:w="440" w:type="dxa"/>
            <w:tcBorders/>
            <w:vAlign w:val="center"/>
          </w:tcPr>
          <w:p>
            <w:pPr>
              <w:pStyle w:val="TableContents"/>
              <w:bidi w:val="0"/>
              <w:spacing w:before="0" w:after="283"/>
              <w:jc w:val="both"/>
              <w:rPr/>
            </w:pPr>
            <w:r>
              <w:rPr/>
              <w:t> </w:t>
            </w:r>
          </w:p>
        </w:tc>
        <w:tc>
          <w:tcPr>
            <w:tcW w:w="469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4514"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46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Hver warrant giver ret til tegning af én ordinær aktie á nominelt DKK 1,00 i selskabet til en tegningspris på USD 1,83 omregnet til DKK til den officielle vekselkurs mellem DKK/USD som er gældende på udnyttelsesdagen, dog minimum DKK 1 pr. aktie à nominelt kr. 1, dog således at reguleringsmekanismerne i punkt 6 i vedtægternes bilag 5 kan resultere i et andet antal aktier og/eller en anden tegningskurs.</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45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warrant confers the right to subscribe for one ordinary share of nominal DKK 1.00 in the company at a subscription price of USD 1.83 converted into DKK using the official exchange rate between DKK and USD on the exercise day, however no less than DKK 1 per share of nominal DKK 1, provided, however, that the adjustment mechanisms in clause 6 of appendix 5 to the articles of association may result in a different number of shares and/or a different subscription price.</w:t>
            </w:r>
          </w:p>
        </w:tc>
      </w:tr>
      <w:tr>
        <w:trPr/>
        <w:tc>
          <w:tcPr>
            <w:tcW w:w="440" w:type="dxa"/>
            <w:tcBorders/>
            <w:vAlign w:val="center"/>
          </w:tcPr>
          <w:p>
            <w:pPr>
              <w:pStyle w:val="TableContents"/>
              <w:bidi w:val="0"/>
              <w:spacing w:before="0" w:after="283"/>
              <w:jc w:val="both"/>
              <w:rPr/>
            </w:pPr>
            <w:r>
              <w:rPr/>
              <w:t> </w:t>
            </w:r>
          </w:p>
        </w:tc>
        <w:tc>
          <w:tcPr>
            <w:tcW w:w="469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4514"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469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45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warrants and subsequent subscription of shares by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5605"/>
        <w:gridCol w:w="60"/>
        <w:gridCol w:w="425"/>
        <w:gridCol w:w="3675"/>
      </w:tblGrid>
      <w:tr>
        <w:trPr/>
        <w:tc>
          <w:tcPr>
            <w:tcW w:w="4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56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Det  mindste  og  det  højeste  beløb, </w:t>
            </w:r>
            <w:r>
              <w:rPr>
                <w:rFonts w:ascii="Times New Roman;Times;Serif" w:hAnsi="Times New Roman;Times;Serif"/>
                <w:sz w:val="20"/>
              </w:rPr>
              <w:t>hvormed aktiekapitalen skal kunne forhøjes på baggrund af de udstedte warrants, udgør henholdsvis nominelt DKK 1 og DKK 65.000, dog således at reguleringsmekanismerne i punkt 6 i vedtægternes bilag 5 kan resultere i et andet beløb.</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36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 minimum and the maximum nominal </w:t>
            </w:r>
            <w:r>
              <w:rPr>
                <w:rFonts w:ascii="Times New Roman;Times;Serif" w:hAnsi="Times New Roman;Times;Serif"/>
                <w:sz w:val="20"/>
              </w:rPr>
              <w:t>amount of the capital increase(s) that can be subscribed for on the basis of the warrants is DKK 1 and DKK 65,000, respectively, provided, however, that the adjustment mechanisms in clause 6 of appendix 5 to the articles of association.</w:t>
            </w:r>
          </w:p>
        </w:tc>
      </w:tr>
      <w:tr>
        <w:trPr/>
        <w:tc>
          <w:tcPr>
            <w:tcW w:w="440" w:type="dxa"/>
            <w:tcBorders/>
            <w:vAlign w:val="center"/>
          </w:tcPr>
          <w:p>
            <w:pPr>
              <w:pStyle w:val="TableContents"/>
              <w:bidi w:val="0"/>
              <w:spacing w:before="0" w:after="283"/>
              <w:jc w:val="both"/>
              <w:rPr/>
            </w:pPr>
            <w:r>
              <w:rPr/>
              <w:t> </w:t>
            </w:r>
          </w:p>
        </w:tc>
        <w:tc>
          <w:tcPr>
            <w:tcW w:w="56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3675"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56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Tegningskursen for kapitalforhøjelsen er fastsat til USD 1,83 pr. aktie á nominelt DKK 1 omregnet til DKK til den officielle vekselkurs mellem DKK/USD som er gældende på udnyttelsesdagen, dog minimum DKK 1 pr. aktie à nominelt kr. 1, dog således at reguleringsmekanismerne i punkt 6 i vedtægternes bilag 5 kan resultere i en anden kurs.</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3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subscription will be made at a subscription price of USD 1.83 per share of nominal DKK 1.00 converted into DKK using the official exchange rate between DKK and USD on the exercise day, however no less than DKK 1 per share of nominal DKK 1</w:t>
            </w:r>
            <w:r>
              <w:rPr>
                <w:rFonts w:ascii="Times New Roman;Times;Serif" w:hAnsi="Times New Roman;Times;Serif"/>
                <w:i/>
                <w:sz w:val="20"/>
              </w:rPr>
              <w:t>,</w:t>
            </w:r>
            <w:r>
              <w:rPr>
                <w:rFonts w:ascii="Times New Roman;Times;Serif" w:hAnsi="Times New Roman;Times;Serif"/>
                <w:sz w:val="20"/>
              </w:rPr>
              <w:t xml:space="preserve"> provided however that the adjustment mechanisms in clause 6 of appendix 5 to the articles of association may result in a different subscription price.</w:t>
            </w:r>
          </w:p>
        </w:tc>
      </w:tr>
      <w:tr>
        <w:trPr/>
        <w:tc>
          <w:tcPr>
            <w:tcW w:w="440" w:type="dxa"/>
            <w:tcBorders/>
            <w:vAlign w:val="center"/>
          </w:tcPr>
          <w:p>
            <w:pPr>
              <w:pStyle w:val="TableContents"/>
              <w:bidi w:val="0"/>
              <w:spacing w:before="0" w:after="283"/>
              <w:jc w:val="both"/>
              <w:rPr/>
            </w:pPr>
            <w:r>
              <w:rPr/>
              <w:t> </w:t>
            </w:r>
          </w:p>
        </w:tc>
        <w:tc>
          <w:tcPr>
            <w:tcW w:w="56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3675"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10.000 (ekskl. moms).</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36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costs in connection with the capital increase to be borne by the company are approx. DKK 10,000 (excluding VAT).</w:t>
            </w:r>
          </w:p>
        </w:tc>
      </w:tr>
      <w:tr>
        <w:trPr/>
        <w:tc>
          <w:tcPr>
            <w:tcW w:w="440" w:type="dxa"/>
            <w:tcBorders/>
            <w:vAlign w:val="center"/>
          </w:tcPr>
          <w:p>
            <w:pPr>
              <w:pStyle w:val="TableContents"/>
              <w:bidi w:val="0"/>
              <w:spacing w:before="0" w:after="283"/>
              <w:jc w:val="both"/>
              <w:rPr/>
            </w:pPr>
            <w:r>
              <w:rPr/>
              <w:t> </w:t>
            </w:r>
          </w:p>
        </w:tc>
        <w:tc>
          <w:tcPr>
            <w:tcW w:w="56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3675"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56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Øvrige vilkår for de udstedte warrants og den senere tegning af aktier ved udnyttelse af disse warrants fremgår af vedtægternes bilag 5.</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36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Additional terms and conditions applicable to the granted warrants and subsequent subscription of shares by exercise of the warrants are set forth in appendix 5 to the articles of association.</w:t>
            </w:r>
          </w:p>
        </w:tc>
      </w:tr>
      <w:tr>
        <w:trPr/>
        <w:tc>
          <w:tcPr>
            <w:tcW w:w="440" w:type="dxa"/>
            <w:tcBorders/>
            <w:vAlign w:val="center"/>
          </w:tcPr>
          <w:p>
            <w:pPr>
              <w:pStyle w:val="TableContents"/>
              <w:bidi w:val="0"/>
              <w:spacing w:before="0" w:after="283"/>
              <w:jc w:val="both"/>
              <w:rPr/>
            </w:pPr>
            <w:r>
              <w:rPr/>
              <w:t> </w:t>
            </w:r>
          </w:p>
        </w:tc>
        <w:tc>
          <w:tcPr>
            <w:tcW w:w="56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3675"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2.5.7</w:t>
            </w:r>
          </w:p>
        </w:tc>
        <w:tc>
          <w:tcPr>
            <w:tcW w:w="5605" w:type="dxa"/>
            <w:tcBorders/>
            <w:vAlign w:val="center"/>
          </w:tcPr>
          <w:p>
            <w:pPr>
              <w:pStyle w:val="TableContents"/>
              <w:bidi w:val="0"/>
              <w:spacing w:before="0" w:after="283"/>
              <w:jc w:val="both"/>
              <w:rPr/>
            </w:pPr>
            <w:r>
              <w:rPr>
                <w:rFonts w:ascii="Times New Roman;Times;Serif" w:hAnsi="Times New Roman;Times;Serif"/>
                <w:sz w:val="20"/>
              </w:rPr>
              <w:t xml:space="preserve">I henhold til bemyndigelse fra generalforsamlingen i vedtægternes punkt 2.5 har bestyrelsen den 15. september 2022 tildelt og udstedt i alt 11.000 warrants og truffet beslutning om den til disse warrants hørende forhøjelse af selskabets aktiekapital. Warrants udstedes i øvrigt på de i bilag 5 angivne vilkår dog således at 5.000 warrants optjenes med 1/36 pr. md. fra og med 1. august 2022 og 6.000 warrants optjenes med 1/36 pr. md. fra </w:t>
            </w:r>
            <w:r>
              <w:rPr>
                <w:rFonts w:ascii="Times New Roman;Times;Serif" w:hAnsi="Times New Roman;Times;Serif"/>
              </w:rPr>
              <w:t>og med 8. august 2022. Bemyndigelsen i pkt. 2.5 er herefter nedsat til nominelt DKK 803.254.</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2.5.7</w:t>
            </w:r>
          </w:p>
        </w:tc>
        <w:tc>
          <w:tcPr>
            <w:tcW w:w="3675" w:type="dxa"/>
            <w:tcBorders/>
            <w:vAlign w:val="center"/>
          </w:tcPr>
          <w:p>
            <w:pPr>
              <w:pStyle w:val="TableContents"/>
              <w:bidi w:val="0"/>
              <w:spacing w:before="0" w:after="283"/>
              <w:jc w:val="both"/>
              <w:rPr/>
            </w:pPr>
            <w:r>
              <w:rPr>
                <w:rFonts w:ascii="Times New Roman;Times;Serif" w:hAnsi="Times New Roman;Times;Serif"/>
                <w:sz w:val="20"/>
              </w:rPr>
              <w:t xml:space="preserve">Pursuant to the authorization from the general meeting set out in article 2.5 of the articles of association the board of directors has on September 15, 2022 granted and issued 11,000 and resolved to carry out the increase of the company's share capital relating to the warrants. The warrants are issued on the terms and conditions set out in appendix 5 provided, however, that 5,000 warrants vest with 1/36 per month from August 1, 2022 and 6,000 </w:t>
            </w:r>
            <w:r>
              <w:rPr>
                <w:rFonts w:ascii="Times New Roman;Times;Serif" w:hAnsi="Times New Roman;Times;Serif"/>
              </w:rPr>
              <w:t>warrants vest with 1/36 per month from August 8, 2022. The authorization in article 2.5 is hereafter reduced to 803,254.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5789"/>
        <w:gridCol w:w="60"/>
        <w:gridCol w:w="95"/>
        <w:gridCol w:w="4151"/>
      </w:tblGrid>
      <w:tr>
        <w:trPr/>
        <w:tc>
          <w:tcPr>
            <w:tcW w:w="110" w:type="dxa"/>
            <w:tcBorders/>
            <w:vAlign w:val="center"/>
          </w:tcPr>
          <w:p>
            <w:pPr>
              <w:pStyle w:val="TableContents"/>
              <w:bidi w:val="0"/>
              <w:spacing w:before="0" w:after="283"/>
              <w:jc w:val="both"/>
              <w:rPr/>
            </w:pPr>
            <w:r>
              <w:rPr/>
              <w:t> </w:t>
            </w:r>
          </w:p>
        </w:tc>
        <w:tc>
          <w:tcPr>
            <w:tcW w:w="57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Hver warrant giver ret til tegning af én ordinær aktie á nominelt DKK 1,00 i selskabet til en tegningspris på USD 2,42 omregnet til DKK til den officielle vekselkurs mellem DKK/USD som er gældende på udnyttelsesdagen, dog minimum DKK 1 pr. aktie à nominelt kr. 1, dog således at regulerings-mekanismerne i punkt 6 i vedtægternes bilag 5 kan resultere i et andet antal aktier og/eller en anden tegningskurs.</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warrant confers the right to subscribe for one ordinary share of nominal DKK 1.00 in the company at a subscription price of USD 2.42 converted into DKK using the official exchange rate between DKK and USD on the exercise day, provided, however, that the adjustment mechanisms in clause 6 of appendix 5 to the articles of association may result in a different number of shares and/or a different subscription price.</w:t>
            </w:r>
          </w:p>
        </w:tc>
      </w:tr>
      <w:tr>
        <w:trPr/>
        <w:tc>
          <w:tcPr>
            <w:tcW w:w="110" w:type="dxa"/>
            <w:tcBorders/>
            <w:vAlign w:val="center"/>
          </w:tcPr>
          <w:p>
            <w:pPr>
              <w:pStyle w:val="TableContents"/>
              <w:bidi w:val="0"/>
              <w:spacing w:before="0" w:after="283"/>
              <w:jc w:val="both"/>
              <w:rPr/>
            </w:pPr>
            <w:r>
              <w:rPr/>
              <w:t> </w:t>
            </w:r>
          </w:p>
        </w:tc>
        <w:tc>
          <w:tcPr>
            <w:tcW w:w="57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151"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both"/>
              <w:rPr/>
            </w:pPr>
            <w:r>
              <w:rPr/>
              <w:t> </w:t>
            </w:r>
          </w:p>
        </w:tc>
        <w:tc>
          <w:tcPr>
            <w:tcW w:w="57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warrants and subsequent subscription of shares by exercise of the warrants:</w:t>
            </w:r>
          </w:p>
        </w:tc>
      </w:tr>
      <w:tr>
        <w:trPr/>
        <w:tc>
          <w:tcPr>
            <w:tcW w:w="110" w:type="dxa"/>
            <w:tcBorders/>
            <w:vAlign w:val="center"/>
          </w:tcPr>
          <w:p>
            <w:pPr>
              <w:pStyle w:val="TableContents"/>
              <w:bidi w:val="0"/>
              <w:spacing w:before="0" w:after="283"/>
              <w:jc w:val="both"/>
              <w:rPr/>
            </w:pPr>
            <w:r>
              <w:rPr/>
              <w:t> </w:t>
            </w:r>
          </w:p>
        </w:tc>
        <w:tc>
          <w:tcPr>
            <w:tcW w:w="57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151"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7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mindste og det højeste beløb, hvormed aktiekapitalen skal kunne forhøjes på baggrund af de udstedte warrants, udgør henholdsvis nominelt DKK 1 og DKK 11.000, dog således at reguleringsmekanismerne i punkt 6 i vedtægternes bilag 5 kan resultere i et andet beløb.</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minimum and the maximum nominal amount of the capital increase(s) that can be subscribed for on the basis of the warrants is DKK 1 and DKK 11,000, respectively, provided, however, that the adjustment mechanisms in clause 6 of appendix 5 to the articles of association.</w:t>
            </w:r>
          </w:p>
        </w:tc>
      </w:tr>
      <w:tr>
        <w:trPr/>
        <w:tc>
          <w:tcPr>
            <w:tcW w:w="110" w:type="dxa"/>
            <w:tcBorders/>
            <w:vAlign w:val="center"/>
          </w:tcPr>
          <w:p>
            <w:pPr>
              <w:pStyle w:val="TableContents"/>
              <w:bidi w:val="0"/>
              <w:spacing w:before="0" w:after="283"/>
              <w:jc w:val="both"/>
              <w:rPr/>
            </w:pPr>
            <w:r>
              <w:rPr/>
              <w:t> </w:t>
            </w:r>
          </w:p>
        </w:tc>
        <w:tc>
          <w:tcPr>
            <w:tcW w:w="57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151"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57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Tegningskursen for kapitalforhøjelsen er fastsat til USD 2,42 pr. aktie á nominelt DKK 1 omregnet til DKK til den officielle vekselkurs mellem DKK/USD som er gældende på udnyttelsesdagen, dog minimum DKK 1 pr. aktie à nominelt kr. 1, dog således at reguleringsmekanismerne i punkt 6 i vedtægternes bilag 5 kan resultere i en anden kurs.</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41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will be made at a subscription price of USD 2.42 per share of nominal DKK 1.00 converted into DKK using the official exchange rate between DKK and USD on the exercise day, provided however that the adjustment mechanisms in clause 6 of appendix 5 to the articles of association may result in a different subscription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5022"/>
        <w:gridCol w:w="60"/>
        <w:gridCol w:w="425"/>
        <w:gridCol w:w="4258"/>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0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10.000 (ekskl. moms).</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42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costs in connection with the capital increase to be borne by the company are approx. DKK 10,000 (excluding VAT).</w:t>
            </w:r>
          </w:p>
        </w:tc>
      </w:tr>
      <w:tr>
        <w:trPr/>
        <w:tc>
          <w:tcPr>
            <w:tcW w:w="440" w:type="dxa"/>
            <w:tcBorders/>
            <w:vAlign w:val="center"/>
          </w:tcPr>
          <w:p>
            <w:pPr>
              <w:pStyle w:val="TableContents"/>
              <w:bidi w:val="0"/>
              <w:spacing w:before="0" w:after="283"/>
              <w:jc w:val="both"/>
              <w:rPr/>
            </w:pPr>
            <w:r>
              <w:rPr/>
              <w:t> </w:t>
            </w:r>
          </w:p>
        </w:tc>
        <w:tc>
          <w:tcPr>
            <w:tcW w:w="502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258"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502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Øvrige vilkår for de udstedte warrants og den senere tegning af aktier ved udnyttelse af disse warrants fremgår af vedtægternes bilag 5.</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2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Additional terms and conditions applicable to the granted warrants and subsequent subscription of shares by exercise of the warrants are set forth in appendix 5 to the articles of association.</w:t>
            </w:r>
          </w:p>
        </w:tc>
      </w:tr>
      <w:tr>
        <w:trPr/>
        <w:tc>
          <w:tcPr>
            <w:tcW w:w="440" w:type="dxa"/>
            <w:tcBorders/>
            <w:vAlign w:val="center"/>
          </w:tcPr>
          <w:p>
            <w:pPr>
              <w:pStyle w:val="TableContents"/>
              <w:bidi w:val="0"/>
              <w:spacing w:before="0" w:after="283"/>
              <w:jc w:val="both"/>
              <w:rPr/>
            </w:pPr>
            <w:r>
              <w:rPr/>
              <w:t> </w:t>
            </w:r>
          </w:p>
        </w:tc>
        <w:tc>
          <w:tcPr>
            <w:tcW w:w="502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258"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2.5.8</w:t>
            </w:r>
          </w:p>
        </w:tc>
        <w:tc>
          <w:tcPr>
            <w:tcW w:w="50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bemyndigelse fra generalforsamlingen i vedtægternes punkt 2.5 har bestyrelsen den 12. december 2022 tildelt og udstedt i alt 380.612 warrants og truffet beslutning om den til disse warrants hørende forhøjelse af selskabets aktiekapital. Warrants udstedes i øvrigt på de i bilag 5 angivne vilkår dog således at 2.500 warrants er fuldt optjent pr. 7. december 2022, 50.000 warrants optjenes med 1/36 pr. md. fra og med 7. december 2022, 299.362 warrants optjenes med 1/36 pr. md. fra og med 1. januar 2023 og 28.750 warrants optjenes med 1/12 pr. md. fra og med 1. januar 2023. Bemyndigelsen i pkt. 2.5 er herefter nedsat til nominelt DKK 422.642.</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2.5.8</w:t>
            </w:r>
          </w:p>
        </w:tc>
        <w:tc>
          <w:tcPr>
            <w:tcW w:w="42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authorization from the general meeting set out in article 2.5 of the articles of association the board of directors has on December 12, 2022 granted and issued 380,612 and resolved to carry out the increase of the company's share capital relating to the warrants. The warrants are issued on the terms and conditions set out in appendix 5 provided, however, that 2,500 warrants are vested immediately per December 7, 2022, 50,000 warrants vest with 1/36 per month from December 7, 2022, 299,362 warrants vest with 1/36 per month from January 1, 2023 and 28,750 warrants vest with 1/12 per month from January 1, 2023. The authorization in article 2.5 is hereafter reduced to 422,642.</w:t>
            </w:r>
          </w:p>
        </w:tc>
      </w:tr>
      <w:tr>
        <w:trPr/>
        <w:tc>
          <w:tcPr>
            <w:tcW w:w="440" w:type="dxa"/>
            <w:tcBorders/>
            <w:vAlign w:val="center"/>
          </w:tcPr>
          <w:p>
            <w:pPr>
              <w:pStyle w:val="TableContents"/>
              <w:bidi w:val="0"/>
              <w:spacing w:before="0" w:after="283"/>
              <w:jc w:val="both"/>
              <w:rPr/>
            </w:pPr>
            <w:r>
              <w:rPr/>
              <w:t> </w:t>
            </w:r>
          </w:p>
        </w:tc>
        <w:tc>
          <w:tcPr>
            <w:tcW w:w="502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258"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5022" w:type="dxa"/>
            <w:tcBorders/>
            <w:vAlign w:val="center"/>
          </w:tcPr>
          <w:p>
            <w:pPr>
              <w:pStyle w:val="TableContents"/>
              <w:bidi w:val="0"/>
              <w:spacing w:before="0" w:after="283"/>
              <w:jc w:val="both"/>
              <w:rPr/>
            </w:pPr>
            <w:r>
              <w:rPr>
                <w:rFonts w:ascii="Times New Roman;Times;Serif" w:hAnsi="Times New Roman;Times;Serif"/>
                <w:sz w:val="20"/>
              </w:rPr>
              <w:t xml:space="preserve">Hver warrant giver ret til tegning af én ordinær aktie á nominelt DKK 1,00 i selskabet til en tegningspris på USD 2,23 omregnet til DKK til den officielle vekselkurs mellem DKK/USD som er gældende på udnyttelsesdagen, dog minimum DKK 1 pr. aktie à nominelt kr. 1, dog således at regulerings-mekanismerne i punkt 6 i vedtægternes bilag 5 kan resultere i et andet antal aktier og/eller en anden </w:t>
            </w:r>
            <w:r>
              <w:rPr>
                <w:rFonts w:ascii="Times New Roman;Times;Serif" w:hAnsi="Times New Roman;Times;Serif"/>
              </w:rPr>
              <w:t>tegningskurs.</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258" w:type="dxa"/>
            <w:tcBorders/>
            <w:vAlign w:val="center"/>
          </w:tcPr>
          <w:p>
            <w:pPr>
              <w:pStyle w:val="TableContents"/>
              <w:bidi w:val="0"/>
              <w:spacing w:before="0" w:after="283"/>
              <w:jc w:val="both"/>
              <w:rPr/>
            </w:pPr>
            <w:r>
              <w:rPr>
                <w:rFonts w:ascii="Times New Roman;Times;Serif" w:hAnsi="Times New Roman;Times;Serif"/>
                <w:sz w:val="20"/>
              </w:rPr>
              <w:t xml:space="preserve">Each warrant confers the right to subscribe for one ordinary share of nominal DKK 1.00 in the company at a subscription price of USD 2.23 converted into DKK using the official exchange rate between DKK and USD on the exercise day, provided, however, that the adjustment mechanisms in clause 6 of appendix 5 to the articles of association may result in a different number of shares and/or a </w:t>
            </w:r>
            <w:r>
              <w:rPr>
                <w:rFonts w:ascii="Times New Roman;Times;Serif" w:hAnsi="Times New Roman;Times;Serif"/>
              </w:rPr>
              <w:t>different subscription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5099"/>
        <w:gridCol w:w="60"/>
        <w:gridCol w:w="500"/>
        <w:gridCol w:w="4106"/>
      </w:tblGrid>
      <w:tr>
        <w:trPr/>
        <w:tc>
          <w:tcPr>
            <w:tcW w:w="440" w:type="dxa"/>
            <w:tcBorders/>
            <w:vAlign w:val="center"/>
          </w:tcPr>
          <w:p>
            <w:pPr>
              <w:pStyle w:val="TableContents"/>
              <w:bidi w:val="0"/>
              <w:spacing w:before="0" w:after="283"/>
              <w:jc w:val="both"/>
              <w:rPr/>
            </w:pPr>
            <w:r>
              <w:rPr/>
              <w:t> </w:t>
            </w:r>
          </w:p>
        </w:tc>
        <w:tc>
          <w:tcPr>
            <w:tcW w:w="509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41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warrants and subsequent subscription of shares by exercise of the warrants:</w:t>
            </w:r>
          </w:p>
        </w:tc>
      </w:tr>
      <w:tr>
        <w:trPr/>
        <w:tc>
          <w:tcPr>
            <w:tcW w:w="440" w:type="dxa"/>
            <w:tcBorders/>
            <w:vAlign w:val="center"/>
          </w:tcPr>
          <w:p>
            <w:pPr>
              <w:pStyle w:val="TableContents"/>
              <w:bidi w:val="0"/>
              <w:spacing w:before="0" w:after="283"/>
              <w:jc w:val="both"/>
              <w:rPr/>
            </w:pPr>
            <w:r>
              <w:rPr/>
              <w:t> </w:t>
            </w:r>
          </w:p>
        </w:tc>
        <w:tc>
          <w:tcPr>
            <w:tcW w:w="509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4106"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0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mindste og det højeste beløb, hvormed aktiekapitalen skal kunne forhøjes på baggrund af de udstedte warrants, udgør henholdsvis nominelt DKK 1 og DKK 380.612, dog således at reguleringsmekanismerne i punkt 6 i vedtægternes bilag 5 kan resultere i et andet beløb.</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1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minimum and the maximum nominal amount of the capital increase(s) that can be subscribed for on the basis of the warrants is DKK 1 and DKK 380,612, respectively, provided, however, that the adjustment mechanisms in clause 6 of appendix 5 to the articles of association.</w:t>
            </w:r>
          </w:p>
        </w:tc>
      </w:tr>
      <w:tr>
        <w:trPr/>
        <w:tc>
          <w:tcPr>
            <w:tcW w:w="440" w:type="dxa"/>
            <w:tcBorders/>
            <w:vAlign w:val="center"/>
          </w:tcPr>
          <w:p>
            <w:pPr>
              <w:pStyle w:val="TableContents"/>
              <w:bidi w:val="0"/>
              <w:spacing w:before="0" w:after="283"/>
              <w:jc w:val="both"/>
              <w:rPr/>
            </w:pPr>
            <w:r>
              <w:rPr/>
              <w:t> </w:t>
            </w:r>
          </w:p>
        </w:tc>
        <w:tc>
          <w:tcPr>
            <w:tcW w:w="509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4106"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509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Tegningskursen for kapitalforhøjelsen er fastsat til USD 2,23 pr. aktie á nominelt DKK 1 omregnet til DKK til den officielle vekselkurs mellem DKK/USD som er gældende på udnyttelsesdagen, dog minimum DKK 1 pr. aktie à nominelt kr. 1, dog således at reguleringsmekanismerne i punkt 6 i vedtægternes bilag 5 kan resultere i en anden kurs.</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41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will be made at a subscription price of USD 2.23 per share of nominal DKK 1.00 converted into DKK using the official exchange rate between DKK and USD on the exercise day, provided however that the adjustment mechanisms in clause 6 of appendix 5 to the articles of association may result in a different subscription price.</w:t>
            </w:r>
          </w:p>
        </w:tc>
      </w:tr>
      <w:tr>
        <w:trPr/>
        <w:tc>
          <w:tcPr>
            <w:tcW w:w="440" w:type="dxa"/>
            <w:tcBorders/>
            <w:vAlign w:val="center"/>
          </w:tcPr>
          <w:p>
            <w:pPr>
              <w:pStyle w:val="TableContents"/>
              <w:bidi w:val="0"/>
              <w:spacing w:before="0" w:after="283"/>
              <w:jc w:val="both"/>
              <w:rPr/>
            </w:pPr>
            <w:r>
              <w:rPr/>
              <w:t> </w:t>
            </w:r>
          </w:p>
        </w:tc>
        <w:tc>
          <w:tcPr>
            <w:tcW w:w="509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4106"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0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10.000 (ekskl. moms).</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41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costs in connection with the capital increase to be borne by the company are approx. DKK 10,000 (excluding VAT).</w:t>
            </w:r>
          </w:p>
        </w:tc>
      </w:tr>
      <w:tr>
        <w:trPr/>
        <w:tc>
          <w:tcPr>
            <w:tcW w:w="440" w:type="dxa"/>
            <w:tcBorders/>
            <w:vAlign w:val="center"/>
          </w:tcPr>
          <w:p>
            <w:pPr>
              <w:pStyle w:val="TableContents"/>
              <w:bidi w:val="0"/>
              <w:spacing w:before="0" w:after="283"/>
              <w:jc w:val="both"/>
              <w:rPr/>
            </w:pPr>
            <w:r>
              <w:rPr/>
              <w:t> </w:t>
            </w:r>
          </w:p>
        </w:tc>
        <w:tc>
          <w:tcPr>
            <w:tcW w:w="509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4106"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509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Øvrige vilkår for de udstedte warrants og den senere tegning af aktier ved udnyttelse af disse warrants fremgår af vedtægternes bilag 5.</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41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Additional terms and conditions applicable to the granted warrants and subsequent subscription of shares by exercise of the warrants are set forth in appendix 5 to the articles of association.</w:t>
            </w:r>
          </w:p>
        </w:tc>
      </w:tr>
      <w:tr>
        <w:trPr/>
        <w:tc>
          <w:tcPr>
            <w:tcW w:w="440" w:type="dxa"/>
            <w:tcBorders/>
            <w:vAlign w:val="center"/>
          </w:tcPr>
          <w:p>
            <w:pPr>
              <w:pStyle w:val="TableContents"/>
              <w:bidi w:val="0"/>
              <w:spacing w:before="0" w:after="283"/>
              <w:jc w:val="both"/>
              <w:rPr/>
            </w:pPr>
            <w:r>
              <w:rPr/>
              <w:t> </w:t>
            </w:r>
          </w:p>
        </w:tc>
        <w:tc>
          <w:tcPr>
            <w:tcW w:w="509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pPr>
            <w:r>
              <w:rPr/>
              <w:t> </w:t>
            </w:r>
          </w:p>
        </w:tc>
        <w:tc>
          <w:tcPr>
            <w:tcW w:w="4106"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2.5.9</w:t>
            </w:r>
          </w:p>
        </w:tc>
        <w:tc>
          <w:tcPr>
            <w:tcW w:w="5099" w:type="dxa"/>
            <w:tcBorders/>
            <w:vAlign w:val="center"/>
          </w:tcPr>
          <w:p>
            <w:pPr>
              <w:pStyle w:val="TableContents"/>
              <w:bidi w:val="0"/>
              <w:spacing w:before="0" w:after="283"/>
              <w:jc w:val="both"/>
              <w:rPr/>
            </w:pPr>
            <w:r>
              <w:rPr>
                <w:rFonts w:ascii="Times New Roman;Times;Serif" w:hAnsi="Times New Roman;Times;Serif"/>
                <w:sz w:val="20"/>
              </w:rPr>
              <w:t xml:space="preserve">I henhold til bemyndigelse fra generalforsamlingen i vedtægternes punkt 2.5 har bestyrelsen den 15. marts 2023 tildelt og udstedt i alt 10.000 warrants og truffet </w:t>
            </w:r>
            <w:r>
              <w:rPr>
                <w:rFonts w:ascii="Times New Roman;Times;Serif" w:hAnsi="Times New Roman;Times;Serif"/>
              </w:rPr>
              <w:t>beslutning om den til disse warrants hørende forhøjelse af selskabets aktiekapital. Warrants udstedes i øvrigt på de i bilag 5 angivne vilkår dog således at de 10.000 warrants optjenes med 1/36 pr. md. fra og med 1. januar 2023. Bemyndigelsen i pkt. 2.5 er herefter nedsat til nominelt DKK 412.642.</w:t>
            </w:r>
          </w:p>
        </w:tc>
        <w:tc>
          <w:tcPr>
            <w:tcW w:w="60" w:type="dxa"/>
            <w:tcBorders/>
            <w:vAlign w:val="center"/>
          </w:tcPr>
          <w:p>
            <w:pPr>
              <w:pStyle w:val="TableContents"/>
              <w:bidi w:val="0"/>
              <w:spacing w:before="0" w:after="283"/>
              <w:jc w:val="both"/>
              <w:rPr/>
            </w:pPr>
            <w:r>
              <w:rPr/>
              <w:t> </w:t>
            </w:r>
          </w:p>
        </w:tc>
        <w:tc>
          <w:tcPr>
            <w:tcW w:w="5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2.5.9</w:t>
            </w:r>
          </w:p>
        </w:tc>
        <w:tc>
          <w:tcPr>
            <w:tcW w:w="41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Pursuant to the authorization from the general meeting set out in article 2.5 of the articles of association the board of directors has on 15 March 2023 granted </w:t>
            </w:r>
            <w:r>
              <w:rPr>
                <w:rFonts w:ascii="Times New Roman;Times;Serif" w:hAnsi="Times New Roman;Times;Serif"/>
                <w:sz w:val="20"/>
              </w:rPr>
              <w:t>and issued 10,000 and resolved to carry out the increase of the company's share capital relating to the warrants. The warrants are issued on the terms and conditions set out in appendix 5 provided, however, that such 10,000 warrants vest with 1/36 per month from January 1, 2023. The authorization in article 2.5 is hereafter reduced to 412,642.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5483"/>
        <w:gridCol w:w="60"/>
        <w:gridCol w:w="95"/>
        <w:gridCol w:w="4457"/>
      </w:tblGrid>
      <w:tr>
        <w:trPr/>
        <w:tc>
          <w:tcPr>
            <w:tcW w:w="110" w:type="dxa"/>
            <w:tcBorders/>
            <w:vAlign w:val="center"/>
          </w:tcPr>
          <w:p>
            <w:pPr>
              <w:pStyle w:val="TableContents"/>
              <w:bidi w:val="0"/>
              <w:spacing w:before="0" w:after="283"/>
              <w:jc w:val="both"/>
              <w:rPr/>
            </w:pPr>
            <w:r>
              <w:rPr/>
              <w:t> </w:t>
            </w:r>
          </w:p>
        </w:tc>
        <w:tc>
          <w:tcPr>
            <w:tcW w:w="54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Hver warrant giver ret til tegning af én ordinær aktie á nominelt DKK 1,00 i selskabet til en tegningspris på USD 1,90 omregnet til DKK til den officielle vekselkurs mellem DKK/USD som er gældende på udnyttelsesdagen, dog minimum DKK 1 pr. aktie à nominelt kr. 1, dog således at reguleringsmekanismerne i punkt 6 i vedtægternes bilag 5 kan resultere i et andet antal aktier og/eller en anden tegningskurs.</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4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warrant confers the right to subscribe for one ordinary share of nominal DKK 1.00 in the company at a subscription price of USD 1.90 converted into DKK using the official exchange rate between DKK and USD on the exercise day, provided, however, that the adjustment mechanisms in clause 6 of appendix 5 to the articles of association may result in a different number of shares and/or a different subscription price.</w:t>
            </w:r>
          </w:p>
        </w:tc>
      </w:tr>
      <w:tr>
        <w:trPr/>
        <w:tc>
          <w:tcPr>
            <w:tcW w:w="110" w:type="dxa"/>
            <w:tcBorders/>
            <w:vAlign w:val="center"/>
          </w:tcPr>
          <w:p>
            <w:pPr>
              <w:pStyle w:val="TableContents"/>
              <w:bidi w:val="0"/>
              <w:spacing w:before="0" w:after="283"/>
              <w:jc w:val="both"/>
              <w:rPr/>
            </w:pPr>
            <w:r>
              <w:rPr/>
              <w:t> </w:t>
            </w:r>
          </w:p>
        </w:tc>
        <w:tc>
          <w:tcPr>
            <w:tcW w:w="548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457"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both"/>
              <w:rPr/>
            </w:pPr>
            <w:r>
              <w:rPr/>
              <w:t> </w:t>
            </w:r>
          </w:p>
        </w:tc>
        <w:tc>
          <w:tcPr>
            <w:tcW w:w="54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4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warrants and subsequent subscription of shares by exercise of the warrants:</w:t>
            </w:r>
          </w:p>
        </w:tc>
      </w:tr>
      <w:tr>
        <w:trPr/>
        <w:tc>
          <w:tcPr>
            <w:tcW w:w="110" w:type="dxa"/>
            <w:tcBorders/>
            <w:vAlign w:val="center"/>
          </w:tcPr>
          <w:p>
            <w:pPr>
              <w:pStyle w:val="TableContents"/>
              <w:bidi w:val="0"/>
              <w:spacing w:before="0" w:after="283"/>
              <w:jc w:val="both"/>
              <w:rPr/>
            </w:pPr>
            <w:r>
              <w:rPr/>
              <w:t> </w:t>
            </w:r>
          </w:p>
        </w:tc>
        <w:tc>
          <w:tcPr>
            <w:tcW w:w="548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457"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4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mindste og det højeste beløb, hvormed aktiekapitalen skal kunne forhøjes på baggrund af de udstedte warrants, udgør henholdsvis nominelt DKK 1 og DKK 10.000, dog således at reguleringsmekanismerne i punkt 6 i vedtægternes bilag 5 kan resultere i et andet beløb.</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4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minimum and the maximum nominal amount of the capital increase(s) that can be subscribed for on the basis of the warrants is DKK 1 and DKK 10,000, respectively, provided, however, that the adjustment mechanisms in clause 6 of appendix 5 to the articles of association.</w:t>
            </w:r>
          </w:p>
        </w:tc>
      </w:tr>
      <w:tr>
        <w:trPr/>
        <w:tc>
          <w:tcPr>
            <w:tcW w:w="110" w:type="dxa"/>
            <w:tcBorders/>
            <w:vAlign w:val="center"/>
          </w:tcPr>
          <w:p>
            <w:pPr>
              <w:pStyle w:val="TableContents"/>
              <w:bidi w:val="0"/>
              <w:spacing w:before="0" w:after="283"/>
              <w:jc w:val="both"/>
              <w:rPr/>
            </w:pPr>
            <w:r>
              <w:rPr/>
              <w:t> </w:t>
            </w:r>
          </w:p>
        </w:tc>
        <w:tc>
          <w:tcPr>
            <w:tcW w:w="548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457"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54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Tegningskursen for kapitalforhøjelsen er fastsat til USD 1,90 pr. aktie á nominelt DKK 1 omregnet til DKK til den officielle vekselkurs mellem DKK/USD som er gældende på udnyttelsesdagen, dog minimum DKK 1 pr. aktie à nominelt kr. 1, dog således at reguleringsmekanismerne i punkt 6 i vedtægternes bilag 5 kan resultere i en anden kurs.</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44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will be made at a subscription price of USD 1.90 per share of nominal DKK 1.00 converted into DKK using the official exchange rate between DKK and USD on the exercise day, provided however that the adjustment mechanisms in clause 6 of appendix 5 to the articles of association may result in a different subscription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
        <w:gridCol w:w="4868"/>
        <w:gridCol w:w="60"/>
        <w:gridCol w:w="530"/>
        <w:gridCol w:w="4202"/>
      </w:tblGrid>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10.000 (ekskl. moms).</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420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costs in connection with the capital increase to be borne by the company are approx. DKK 10,000 (excluding VAT).</w:t>
            </w:r>
          </w:p>
        </w:tc>
      </w:tr>
      <w:tr>
        <w:trPr/>
        <w:tc>
          <w:tcPr>
            <w:tcW w:w="545" w:type="dxa"/>
            <w:tcBorders/>
            <w:vAlign w:val="center"/>
          </w:tcPr>
          <w:p>
            <w:pPr>
              <w:pStyle w:val="TableContents"/>
              <w:bidi w:val="0"/>
              <w:spacing w:before="0" w:after="283"/>
              <w:jc w:val="both"/>
              <w:rPr/>
            </w:pPr>
            <w:r>
              <w:rPr/>
              <w:t> </w:t>
            </w:r>
          </w:p>
        </w:tc>
        <w:tc>
          <w:tcPr>
            <w:tcW w:w="486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202"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86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Øvrige vilkår for de udstedte warrants og den senere tegning af aktier ved udnyttelse af disse warrants fremgår af vedtægternes bilag 5.</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20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Additional terms and conditions applicable to the granted warrants and subsequent subscription of shares by exercise of the warrants are set forth in appendix 5 to the articles of association</w:t>
            </w:r>
          </w:p>
        </w:tc>
      </w:tr>
      <w:tr>
        <w:trPr/>
        <w:tc>
          <w:tcPr>
            <w:tcW w:w="545" w:type="dxa"/>
            <w:tcBorders/>
            <w:vAlign w:val="center"/>
          </w:tcPr>
          <w:p>
            <w:pPr>
              <w:pStyle w:val="TableContents"/>
              <w:bidi w:val="0"/>
              <w:spacing w:before="0" w:after="283"/>
              <w:jc w:val="both"/>
              <w:rPr/>
            </w:pPr>
            <w:r>
              <w:rPr/>
              <w:t> </w:t>
            </w:r>
          </w:p>
        </w:tc>
        <w:tc>
          <w:tcPr>
            <w:tcW w:w="486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202"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2.5.10</w:t>
            </w:r>
          </w:p>
        </w:tc>
        <w:tc>
          <w:tcPr>
            <w:tcW w:w="4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bemyndigelse fra generalforsamlingen i vedtægternes punkt 2.5 har bestyrelsen den 1. september 2023 tildelt og udstedt i alt 100.000 warrants og truffet beslutning om den til disse warrants hørende forhøjelse af selskabets aktiekapital. Warrants udstedes i øvrigt på de i bilag 5 angivne vilkår dog således at de 100.000 warrants optjenes med 1/36 pr. md. fra og med 1. september 2023. Bemyndigelsen i pkt. 2.5 er herefter nedsat til nominelt DKK 312.642.</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2.5.10</w:t>
            </w:r>
          </w:p>
        </w:tc>
        <w:tc>
          <w:tcPr>
            <w:tcW w:w="4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authorization from the general meeting set out in article 2.5 of the articles of association the board of directors has on September 1, 2023 granted and issued 100,000 and resolved to carry out the increase of the company's share capital relating to the warrants. The warrants are issued on the terms and conditions set out in appendix 5 provided, however, that such 100,000 warrants vest with 1/36 per month from September 1, 2023. The authorization in article 2.5 is hereafter reduced to 312,642.</w:t>
            </w:r>
          </w:p>
        </w:tc>
      </w:tr>
      <w:tr>
        <w:trPr/>
        <w:tc>
          <w:tcPr>
            <w:tcW w:w="545" w:type="dxa"/>
            <w:tcBorders/>
            <w:vAlign w:val="center"/>
          </w:tcPr>
          <w:p>
            <w:pPr>
              <w:pStyle w:val="TableContents"/>
              <w:bidi w:val="0"/>
              <w:spacing w:before="0" w:after="283"/>
              <w:jc w:val="both"/>
              <w:rPr/>
            </w:pPr>
            <w:r>
              <w:rPr/>
              <w:t> </w:t>
            </w:r>
          </w:p>
        </w:tc>
        <w:tc>
          <w:tcPr>
            <w:tcW w:w="486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202"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868" w:type="dxa"/>
            <w:tcBorders/>
            <w:vAlign w:val="center"/>
          </w:tcPr>
          <w:p>
            <w:pPr>
              <w:pStyle w:val="TableContents"/>
              <w:bidi w:val="0"/>
              <w:spacing w:before="0" w:after="283"/>
              <w:jc w:val="both"/>
              <w:rPr/>
            </w:pPr>
            <w:r>
              <w:rPr>
                <w:rFonts w:ascii="Times New Roman;Times;Serif" w:hAnsi="Times New Roman;Times;Serif"/>
                <w:sz w:val="20"/>
              </w:rPr>
              <w:t xml:space="preserve">Hver warrant giver ret til tegning af én ordinær aktie á nominelt DKK 1,00 i selskabet til en tegningspris på USD 1,02 omregnet til DKK til den officielle vekselkurs mellem DKK/USD som er gældende på udnyttelsesdagen, dog minimum DKK 1 pr. aktie à nominelt kr. 1, dog således at regulerings-mekanismerne i punkt 6 i vedtægternes bilag 5 kan resultere i et andet antal aktier og/eller en anden </w:t>
            </w:r>
            <w:r>
              <w:rPr>
                <w:rFonts w:ascii="Times New Roman;Times;Serif" w:hAnsi="Times New Roman;Times;Serif"/>
              </w:rPr>
              <w:t>tegningskurs.</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202" w:type="dxa"/>
            <w:tcBorders/>
            <w:vAlign w:val="center"/>
          </w:tcPr>
          <w:p>
            <w:pPr>
              <w:pStyle w:val="TableContents"/>
              <w:bidi w:val="0"/>
              <w:spacing w:before="0" w:after="283"/>
              <w:jc w:val="both"/>
              <w:rPr/>
            </w:pPr>
            <w:r>
              <w:rPr>
                <w:rFonts w:ascii="Times New Roman;Times;Serif" w:hAnsi="Times New Roman;Times;Serif"/>
                <w:sz w:val="20"/>
              </w:rPr>
              <w:t xml:space="preserve">Each warrant confers the right to subscribe for one ordinary share of nominal DKK 1.00 in the company at a subscription price of USD 1.02 converted into DKK using the official exchange rate between DKK and USD on the exercise day, provided, however, that the adjustment mechanisms in clause 6 of appendix 5 to the articles of association may result in a different number of shares and/or a </w:t>
            </w:r>
            <w:r>
              <w:rPr>
                <w:rFonts w:ascii="Times New Roman;Times;Serif" w:hAnsi="Times New Roman;Times;Serif"/>
              </w:rPr>
              <w:t>different subscription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5527"/>
        <w:gridCol w:w="60"/>
        <w:gridCol w:w="95"/>
        <w:gridCol w:w="4413"/>
      </w:tblGrid>
      <w:tr>
        <w:trPr/>
        <w:tc>
          <w:tcPr>
            <w:tcW w:w="110" w:type="dxa"/>
            <w:tcBorders/>
            <w:vAlign w:val="center"/>
          </w:tcPr>
          <w:p>
            <w:pPr>
              <w:pStyle w:val="TableContents"/>
              <w:bidi w:val="0"/>
              <w:spacing w:before="0" w:after="283"/>
              <w:jc w:val="both"/>
              <w:rPr/>
            </w:pPr>
            <w:r>
              <w:rPr/>
              <w:t> </w:t>
            </w:r>
          </w:p>
        </w:tc>
        <w:tc>
          <w:tcPr>
            <w:tcW w:w="55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4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warrants and subsequent subscription of shares by exercise of the warrants:</w:t>
            </w:r>
          </w:p>
        </w:tc>
      </w:tr>
      <w:tr>
        <w:trPr/>
        <w:tc>
          <w:tcPr>
            <w:tcW w:w="110" w:type="dxa"/>
            <w:tcBorders/>
            <w:vAlign w:val="center"/>
          </w:tcPr>
          <w:p>
            <w:pPr>
              <w:pStyle w:val="TableContents"/>
              <w:bidi w:val="0"/>
              <w:spacing w:before="0" w:after="283"/>
              <w:jc w:val="both"/>
              <w:rPr/>
            </w:pPr>
            <w:r>
              <w:rPr/>
              <w:t> </w:t>
            </w:r>
          </w:p>
        </w:tc>
        <w:tc>
          <w:tcPr>
            <w:tcW w:w="552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413"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5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mindste og det højeste beløb, hvormed aktiekapitalen skal kunne forhøjes på baggrund af de udstedte warrants, udgør henholdsvis nominelt DKK 1 og DKK 100.000, dog således at reguleringsmekanismerne i punkt 6 i vedtægternes bilag 5 kan resultere i et andet beløb.</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4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minimum and the maximum nominal amount of the capital increase(s) that can be subscribed for on the basis of the warrants is DKK 1 and DKK 100,000, respectively, provided, however, that the adjustment mechanisms in clause 6 of appendix 5 to the articles of association.</w:t>
            </w:r>
          </w:p>
        </w:tc>
      </w:tr>
      <w:tr>
        <w:trPr/>
        <w:tc>
          <w:tcPr>
            <w:tcW w:w="110" w:type="dxa"/>
            <w:tcBorders/>
            <w:vAlign w:val="center"/>
          </w:tcPr>
          <w:p>
            <w:pPr>
              <w:pStyle w:val="TableContents"/>
              <w:bidi w:val="0"/>
              <w:spacing w:before="0" w:after="283"/>
              <w:jc w:val="both"/>
              <w:rPr/>
            </w:pPr>
            <w:r>
              <w:rPr/>
              <w:t> </w:t>
            </w:r>
          </w:p>
        </w:tc>
        <w:tc>
          <w:tcPr>
            <w:tcW w:w="552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413"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55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Tegningskursen for kapitalforhøjelsen er fastsat til USD 1,02 pr. aktie á nominelt DKK 1 omregnet til DKK til den officielle vekselkurs mellem DKK/USD som er gældende på udnyttelsesdagen, dog minimum DKK 1 pr. aktie à nominelt kr. 1, dog således at reguleringsmekanismerne i punkt 6 i vedtægternes bilag 5 kan resultere i en anden kurs.</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441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will be made at a subscription price of USD 1.02 per share of nominal DKK 1.00 converted into DKK using the official exchange rate between DKK and USD on the exercise day, provided however that the adjustment mechanisms in clause 6 of appendix 5 to the articles of association may result in a different subscription price.</w:t>
            </w:r>
          </w:p>
        </w:tc>
      </w:tr>
      <w:tr>
        <w:trPr/>
        <w:tc>
          <w:tcPr>
            <w:tcW w:w="110" w:type="dxa"/>
            <w:tcBorders/>
            <w:vAlign w:val="center"/>
          </w:tcPr>
          <w:p>
            <w:pPr>
              <w:pStyle w:val="TableContents"/>
              <w:bidi w:val="0"/>
              <w:spacing w:before="0" w:after="283"/>
              <w:jc w:val="both"/>
              <w:rPr/>
            </w:pPr>
            <w:r>
              <w:rPr/>
              <w:t> </w:t>
            </w:r>
          </w:p>
        </w:tc>
        <w:tc>
          <w:tcPr>
            <w:tcW w:w="552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413"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5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10.000 (ekskl. moms).</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441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costs in connection with the capital increase to be borne by the company are approx. DKK 10,000 (excluding VAT).</w:t>
            </w:r>
          </w:p>
        </w:tc>
      </w:tr>
      <w:tr>
        <w:trPr/>
        <w:tc>
          <w:tcPr>
            <w:tcW w:w="110" w:type="dxa"/>
            <w:tcBorders/>
            <w:vAlign w:val="center"/>
          </w:tcPr>
          <w:p>
            <w:pPr>
              <w:pStyle w:val="TableContents"/>
              <w:bidi w:val="0"/>
              <w:spacing w:before="0" w:after="283"/>
              <w:jc w:val="both"/>
              <w:rPr/>
            </w:pPr>
            <w:r>
              <w:rPr/>
              <w:t> </w:t>
            </w:r>
          </w:p>
        </w:tc>
        <w:tc>
          <w:tcPr>
            <w:tcW w:w="552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413"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both"/>
              <w:rPr/>
            </w:pPr>
            <w:r>
              <w:rPr/>
              <w:t> </w:t>
            </w:r>
          </w:p>
        </w:tc>
        <w:tc>
          <w:tcPr>
            <w:tcW w:w="55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Øvrige vilkår for de udstedte warrants og den senere tegning af aktier ved udnyttelse af disse warrants fremgår af vedtægternes bilag 5.</w:t>
            </w:r>
          </w:p>
        </w:tc>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441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Additional terms and conditions applicable to the granted warrants and subsequent subscription of shares by exercise of the warrants are set forth in appendix 5 to the articles of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7"/>
        <w:gridCol w:w="5097"/>
        <w:gridCol w:w="60"/>
        <w:gridCol w:w="620"/>
        <w:gridCol w:w="3791"/>
      </w:tblGrid>
      <w:tr>
        <w:trPr/>
        <w:tc>
          <w:tcPr>
            <w:tcW w:w="6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2.5.11 </w:t>
            </w:r>
          </w:p>
        </w:tc>
        <w:tc>
          <w:tcPr>
            <w:tcW w:w="50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henhold til bemyndigelse fra generalforsamlingen i vedtægternes punkt 2.5 har bestyrelsen den 11. december 2023 tildelt og udstedt i alt 306.074 warrants og truffet beslutning om den til disse warrants hørende forhøjelse af selskabets aktiekapital. Warrants udstedes i øvrigt på de i bilag 5 angivne vilkår dog således at 216.074 warrants optjenes med 1/36 pr. md. fra og med 1. januar 2024 og 90.000 warrants optjenes med 1/12 pr. md. fra og med 1. januar 2024. Bemyndigelsen i pkt. 2.5 er herefter nedsat til nominelt DKK 6.568. Ved generalforsamlingsbeslutning den 16. april 2024 er bemyndigelsen forhøjet til nominelt DKK 10.000.000.</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2.5.11</w:t>
            </w:r>
          </w:p>
        </w:tc>
        <w:tc>
          <w:tcPr>
            <w:tcW w:w="379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Pursuant to the authorization from the general meeting set out in article 2.5 of the articles of association the board of directors has on 11 December 2023 </w:t>
            </w:r>
            <w:r>
              <w:rPr>
                <w:rFonts w:ascii="Times New Roman;Times;Serif" w:hAnsi="Times New Roman;Times;Serif"/>
                <w:sz w:val="20"/>
              </w:rPr>
              <w:t>granted and issued 306,074 and resolved to carry out the increase of the company's share capital relating to the warrants. The warrants are issued on the terms and conditions set out in appendix 5 provided, however, that 216,074 warrants vest with 1/36 per month from 1 January 2024 and 90,000 warrants vest with 1/12 per month from 1 January 2024. The authorization in article 2.5 is hereafter reduced to 6,568. By resolution of the general meeting on 16 April 2024 the authorization has been increased to nominal DKK 10,000,000.</w:t>
            </w:r>
          </w:p>
        </w:tc>
      </w:tr>
      <w:tr>
        <w:trPr/>
        <w:tc>
          <w:tcPr>
            <w:tcW w:w="637" w:type="dxa"/>
            <w:tcBorders/>
            <w:vAlign w:val="center"/>
          </w:tcPr>
          <w:p>
            <w:pPr>
              <w:pStyle w:val="TableContents"/>
              <w:bidi w:val="0"/>
              <w:spacing w:before="0" w:after="283"/>
              <w:jc w:val="both"/>
              <w:rPr/>
            </w:pPr>
            <w:r>
              <w:rPr/>
              <w:t> </w:t>
            </w:r>
          </w:p>
        </w:tc>
        <w:tc>
          <w:tcPr>
            <w:tcW w:w="509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 </w:t>
            </w:r>
          </w:p>
        </w:tc>
        <w:tc>
          <w:tcPr>
            <w:tcW w:w="3791" w:type="dxa"/>
            <w:tcBorders/>
            <w:vAlign w:val="center"/>
          </w:tcPr>
          <w:p>
            <w:pPr>
              <w:pStyle w:val="TableContents"/>
              <w:bidi w:val="0"/>
              <w:spacing w:before="0" w:after="283"/>
              <w:jc w:val="both"/>
              <w:rPr/>
            </w:pPr>
            <w:r>
              <w:rPr/>
              <w:t> </w:t>
            </w:r>
          </w:p>
        </w:tc>
      </w:tr>
      <w:tr>
        <w:trPr/>
        <w:tc>
          <w:tcPr>
            <w:tcW w:w="637" w:type="dxa"/>
            <w:tcBorders/>
            <w:vAlign w:val="center"/>
          </w:tcPr>
          <w:p>
            <w:pPr>
              <w:pStyle w:val="TableContents"/>
              <w:bidi w:val="0"/>
              <w:spacing w:before="0" w:after="283"/>
              <w:jc w:val="both"/>
              <w:rPr/>
            </w:pPr>
            <w:r>
              <w:rPr/>
              <w:t> </w:t>
            </w:r>
          </w:p>
        </w:tc>
        <w:tc>
          <w:tcPr>
            <w:tcW w:w="50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Hver warrant giver ret til tegning af én ordinær aktie á nominelt DKK 1,00 i selskabet til en tegningspris på USD 0,75 omregnet til DKK til den officielle vekselkurs mellem DKK/USD som er gældende på udnyttelsesdagen, dog minimum DKK 1 pr. aktie à nominelt kr. 1, og dog således at reguleringsmekanismerne i punkt 6 i vedtægternes bilag 5 kan resultere i et andet antal aktier og/eller en anden tegningskurs.</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 </w:t>
            </w:r>
          </w:p>
        </w:tc>
        <w:tc>
          <w:tcPr>
            <w:tcW w:w="379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Each warrant confers the right to subscribe for one </w:t>
            </w:r>
            <w:r>
              <w:rPr>
                <w:rFonts w:ascii="Times New Roman;Times;Serif" w:hAnsi="Times New Roman;Times;Serif"/>
                <w:i/>
              </w:rPr>
              <w:t>ordinary</w:t>
            </w:r>
            <w:r>
              <w:rPr>
                <w:rFonts w:ascii="Times New Roman;Times;Serif" w:hAnsi="Times New Roman;Times;Serif"/>
              </w:rPr>
              <w:t xml:space="preserve"> share of nominal DKK 1.00 in the company at a subscription price of USD 0,75 converted into DKK using the official exchange rate between DKK and USD on the exercise day, provided, however no less than DKK 1 per share of nominal DKK and provided however that the adjustment mechanisms in clause 6 of appendix 5 to the articles of association may result in a different number of shares and/or a different subscription price.</w:t>
            </w:r>
          </w:p>
        </w:tc>
      </w:tr>
      <w:tr>
        <w:trPr/>
        <w:tc>
          <w:tcPr>
            <w:tcW w:w="637" w:type="dxa"/>
            <w:tcBorders/>
            <w:vAlign w:val="center"/>
          </w:tcPr>
          <w:p>
            <w:pPr>
              <w:pStyle w:val="TableContents"/>
              <w:bidi w:val="0"/>
              <w:spacing w:before="0" w:after="283"/>
              <w:jc w:val="both"/>
              <w:rPr/>
            </w:pPr>
            <w:r>
              <w:rPr/>
              <w:t> </w:t>
            </w:r>
          </w:p>
        </w:tc>
        <w:tc>
          <w:tcPr>
            <w:tcW w:w="509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 </w:t>
            </w:r>
          </w:p>
        </w:tc>
        <w:tc>
          <w:tcPr>
            <w:tcW w:w="3791" w:type="dxa"/>
            <w:tcBorders/>
            <w:vAlign w:val="center"/>
          </w:tcPr>
          <w:p>
            <w:pPr>
              <w:pStyle w:val="TableContents"/>
              <w:bidi w:val="0"/>
              <w:spacing w:before="0" w:after="283"/>
              <w:jc w:val="both"/>
              <w:rPr/>
            </w:pPr>
            <w:r>
              <w:rPr/>
              <w:t> </w:t>
            </w:r>
          </w:p>
        </w:tc>
      </w:tr>
      <w:tr>
        <w:trPr/>
        <w:tc>
          <w:tcPr>
            <w:tcW w:w="637" w:type="dxa"/>
            <w:tcBorders/>
            <w:vAlign w:val="center"/>
          </w:tcPr>
          <w:p>
            <w:pPr>
              <w:pStyle w:val="TableContents"/>
              <w:bidi w:val="0"/>
              <w:spacing w:before="0" w:after="283"/>
              <w:jc w:val="both"/>
              <w:rPr/>
            </w:pPr>
            <w:r>
              <w:rPr/>
              <w:t> </w:t>
            </w:r>
          </w:p>
        </w:tc>
        <w:tc>
          <w:tcPr>
            <w:tcW w:w="50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 </w:t>
            </w:r>
          </w:p>
        </w:tc>
        <w:tc>
          <w:tcPr>
            <w:tcW w:w="37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warrants and subsequent subscription of shares by exercise of the warrants:</w:t>
            </w:r>
          </w:p>
        </w:tc>
      </w:tr>
      <w:tr>
        <w:trPr/>
        <w:tc>
          <w:tcPr>
            <w:tcW w:w="637" w:type="dxa"/>
            <w:tcBorders/>
            <w:vAlign w:val="center"/>
          </w:tcPr>
          <w:p>
            <w:pPr>
              <w:pStyle w:val="TableContents"/>
              <w:bidi w:val="0"/>
              <w:spacing w:before="0" w:after="283"/>
              <w:jc w:val="both"/>
              <w:rPr/>
            </w:pPr>
            <w:r>
              <w:rPr/>
              <w:t> </w:t>
            </w:r>
          </w:p>
        </w:tc>
        <w:tc>
          <w:tcPr>
            <w:tcW w:w="509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 </w:t>
            </w:r>
          </w:p>
        </w:tc>
        <w:tc>
          <w:tcPr>
            <w:tcW w:w="3791" w:type="dxa"/>
            <w:tcBorders/>
            <w:vAlign w:val="center"/>
          </w:tcPr>
          <w:p>
            <w:pPr>
              <w:pStyle w:val="TableContents"/>
              <w:bidi w:val="0"/>
              <w:spacing w:before="0" w:after="283"/>
              <w:jc w:val="both"/>
              <w:rPr/>
            </w:pPr>
            <w:r>
              <w:rPr/>
              <w:t> </w:t>
            </w:r>
          </w:p>
        </w:tc>
      </w:tr>
      <w:tr>
        <w:trPr/>
        <w:tc>
          <w:tcPr>
            <w:tcW w:w="6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0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mindste og det højeste beløb, hvormed aktiekapitalen skal kunne forhøjes på baggrund af de udstedte warrants, udgør henholdsvis nominelt DKK 1 og DKK 306.074, dog således at reguleringsmekanismerne i punkt 6 i vedtægternes bilag 5 kan resultere i et andet beløb.</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37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minimum and the maximum nominal amount of the capital increase(s) that can be subscribed for on the basis of the warrants is DKK 1 and DKK 306,074, respectively, provided, however, that the adjustment mechanisms in clause 6 of appendix 5 to the articles of association may result in a different amount.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
        <w:gridCol w:w="5035"/>
        <w:gridCol w:w="60"/>
        <w:gridCol w:w="530"/>
        <w:gridCol w:w="4035"/>
      </w:tblGrid>
      <w:tr>
        <w:trPr/>
        <w:tc>
          <w:tcPr>
            <w:tcW w:w="5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50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Tegningskursen for kapitalforhøjelsen er fastsat til USD 0,75 pr. aktie á nominelt DKK 1 omregnet til DKK til den officielle vekselkurs mellem DKK/USD som er gældende på udnyttelsesdagen, dog minimum DKK 1 pr. aktie à nominelt kr. 1, dog således at reguleringsmekanismerne i punkt 6 i vedtægternes bilag 5 kan resultere i en anden kurs.</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subscription will be made at a subscription price of USD 0.75 per share of nominal DKK 1.00 converted into DKK using the official exchange rate between DKK and USD on the exercise day, however no less than DKK 1 per share of nominal DKK and provided however that the adjustment mechanisms in clause 6 of appendix 5 to the articles of association may result in a different subscription price.</w:t>
            </w:r>
          </w:p>
        </w:tc>
      </w:tr>
      <w:tr>
        <w:trPr/>
        <w:tc>
          <w:tcPr>
            <w:tcW w:w="545" w:type="dxa"/>
            <w:tcBorders/>
            <w:vAlign w:val="center"/>
          </w:tcPr>
          <w:p>
            <w:pPr>
              <w:pStyle w:val="TableContents"/>
              <w:bidi w:val="0"/>
              <w:spacing w:before="0" w:after="283"/>
              <w:jc w:val="both"/>
              <w:rPr/>
            </w:pPr>
            <w:r>
              <w:rPr/>
              <w:t> </w:t>
            </w:r>
          </w:p>
        </w:tc>
        <w:tc>
          <w:tcPr>
            <w:tcW w:w="50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035"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10.000 (ekskl. moms</w:t>
            </w:r>
            <w:r>
              <w:rPr>
                <w:rFonts w:ascii="Times New Roman;Times;Serif" w:hAnsi="Times New Roman;Times;Serif"/>
                <w:i/>
                <w:sz w:val="20"/>
              </w:rPr>
              <w:t>).</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40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costs in connection with the capital increase to be borne by the company are approx. DKK 10,000 (excluding VAT).</w:t>
            </w:r>
          </w:p>
        </w:tc>
      </w:tr>
      <w:tr>
        <w:trPr/>
        <w:tc>
          <w:tcPr>
            <w:tcW w:w="545" w:type="dxa"/>
            <w:tcBorders/>
            <w:vAlign w:val="center"/>
          </w:tcPr>
          <w:p>
            <w:pPr>
              <w:pStyle w:val="TableContents"/>
              <w:bidi w:val="0"/>
              <w:spacing w:before="0" w:after="283"/>
              <w:jc w:val="both"/>
              <w:rPr/>
            </w:pPr>
            <w:r>
              <w:rPr/>
              <w:t> </w:t>
            </w:r>
          </w:p>
        </w:tc>
        <w:tc>
          <w:tcPr>
            <w:tcW w:w="50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035"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50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Øvrige vilkår for de udstedte warrants og den senere tegning af aktier ved udnyttelse af disse warrants fremgår af vedtægternes bilag 5.</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0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Additional terms and conditions applicable to the granted warrants and subsequent subscription of shares by exercise of the warrants are set forth in appendix 5 to the articles of association.</w:t>
            </w:r>
          </w:p>
        </w:tc>
      </w:tr>
      <w:tr>
        <w:trPr/>
        <w:tc>
          <w:tcPr>
            <w:tcW w:w="545" w:type="dxa"/>
            <w:tcBorders/>
            <w:vAlign w:val="center"/>
          </w:tcPr>
          <w:p>
            <w:pPr>
              <w:pStyle w:val="TableContents"/>
              <w:bidi w:val="0"/>
              <w:spacing w:before="0" w:after="283"/>
              <w:jc w:val="both"/>
              <w:rPr/>
            </w:pPr>
            <w:r>
              <w:rPr/>
              <w:t> </w:t>
            </w:r>
          </w:p>
        </w:tc>
        <w:tc>
          <w:tcPr>
            <w:tcW w:w="50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035"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2.5.12</w:t>
            </w:r>
          </w:p>
        </w:tc>
        <w:tc>
          <w:tcPr>
            <w:tcW w:w="5035" w:type="dxa"/>
            <w:tcBorders/>
            <w:vAlign w:val="center"/>
          </w:tcPr>
          <w:p>
            <w:pPr>
              <w:pStyle w:val="TableContents"/>
              <w:bidi w:val="0"/>
              <w:spacing w:before="0" w:after="283"/>
              <w:jc w:val="both"/>
              <w:rPr/>
            </w:pPr>
            <w:r>
              <w:rPr>
                <w:rFonts w:ascii="Times New Roman;Times;Serif" w:hAnsi="Times New Roman;Times;Serif"/>
                <w:sz w:val="20"/>
              </w:rPr>
              <w:t xml:space="preserve">I henhold til bemyndigelse fra generalforsamlingen i vedtægternes punkt 2.5 har bestyrelsen den 1. maj 2024 tildelt og udstedt i alt 538.460 warrants og truffet beslutning om den til disse warrants hørende forhøjelse af selskabets aktiekapital. Warrants udstedes i øvrigt på de i bilag 5 angivne vilkår dog således at 438.460 warrants optjenes med 1/36 pr. md. fra og med 1. maj 2024 og 100.000 warrants optjenes med 1/12 pr. md. fra og med 1. maj 2024. Bemyndigelsen i pkt. </w:t>
            </w:r>
            <w:r>
              <w:rPr>
                <w:rFonts w:ascii="Times New Roman;Times;Serif" w:hAnsi="Times New Roman;Times;Serif"/>
              </w:rPr>
              <w:t>2.5 er herefter nedsat til nominelt DKK 9.461.540.</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2.5.12</w:t>
            </w:r>
          </w:p>
        </w:tc>
        <w:tc>
          <w:tcPr>
            <w:tcW w:w="4035" w:type="dxa"/>
            <w:tcBorders/>
            <w:vAlign w:val="center"/>
          </w:tcPr>
          <w:p>
            <w:pPr>
              <w:pStyle w:val="TableContents"/>
              <w:bidi w:val="0"/>
              <w:spacing w:before="0" w:after="283"/>
              <w:jc w:val="both"/>
              <w:rPr/>
            </w:pPr>
            <w:r>
              <w:rPr>
                <w:rFonts w:ascii="Times New Roman;Times;Serif" w:hAnsi="Times New Roman;Times;Serif"/>
                <w:sz w:val="20"/>
              </w:rPr>
              <w:t xml:space="preserve">Pursuant to the authorization from the general meeting set out in article 2.5 of the articles of association the board of directors has on 1 May 2024 granted and issued 538,460 and resolved to carry out the increase of the company's share capital relating to the warrants. The warrants are issued on the terms and conditions set out in appendix 5 and provided, however, that 438,460 warrants vest with 1/36 per month from 1 May 2024 and 100,000 warrants vest with 1/12 per month from 1 May 2024. The authorization in article </w:t>
            </w:r>
            <w:r>
              <w:rPr>
                <w:rFonts w:ascii="Times New Roman;Times;Serif" w:hAnsi="Times New Roman;Times;Serif"/>
              </w:rPr>
              <w:t>2.5 is hereafter reduced to 9,461,540.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0" w:right="0" w:firstLine="360"/>
        <w:jc w:val="both"/>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5"/>
        <w:gridCol w:w="5138"/>
        <w:gridCol w:w="60"/>
        <w:gridCol w:w="80"/>
        <w:gridCol w:w="4832"/>
      </w:tblGrid>
      <w:tr>
        <w:trPr/>
        <w:tc>
          <w:tcPr>
            <w:tcW w:w="95" w:type="dxa"/>
            <w:tcBorders/>
            <w:vAlign w:val="center"/>
          </w:tcPr>
          <w:p>
            <w:pPr>
              <w:pStyle w:val="TableContents"/>
              <w:bidi w:val="0"/>
              <w:spacing w:before="0" w:after="283"/>
              <w:jc w:val="left"/>
              <w:rPr/>
            </w:pPr>
            <w:r>
              <w:rPr/>
              <w:t> </w:t>
            </w:r>
          </w:p>
        </w:tc>
        <w:tc>
          <w:tcPr>
            <w:tcW w:w="51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Hver warrant giver ret til tegning af én ordinær aktie á nominelt DKK 1,00 i selskabet til en tegningspris på USD 0,40 omregnet til DKK til den officielle vekselkurs mellem DKK/USD som er gældende på udnyttelsesdagen, dog minimum DKK 1 pr. aktie à nominelt kr. 1, og dog således at regulerings-mekanismerne i punkt 6 i vedtægternes bilag 5 kan resultere i et andet antal aktier og/eller en anden tegningskurs.</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warrant confers the right to subscribe for one ordinary share of nominal DKK 1.00 in the company at a subscription price of USD 0.40 converted into DKK using the official exchange rate between DKK and USD on the exercise day, provided, however no less than DKK 1 per share of nominal DKK and provided however that the adjustment mechanisms in clause 6 of appendix 5 to the articles of association may result in a different number of shares and/or a different subscription price.</w:t>
            </w:r>
          </w:p>
        </w:tc>
      </w:tr>
      <w:tr>
        <w:trPr/>
        <w:tc>
          <w:tcPr>
            <w:tcW w:w="95" w:type="dxa"/>
            <w:tcBorders/>
            <w:vAlign w:val="center"/>
          </w:tcPr>
          <w:p>
            <w:pPr>
              <w:pStyle w:val="TableContents"/>
              <w:bidi w:val="0"/>
              <w:spacing w:before="0" w:after="283"/>
              <w:jc w:val="both"/>
              <w:rPr/>
            </w:pPr>
            <w:r>
              <w:rPr/>
              <w:t> </w:t>
            </w:r>
          </w:p>
        </w:tc>
        <w:tc>
          <w:tcPr>
            <w:tcW w:w="5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832"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pPr>
            <w:r>
              <w:rPr/>
              <w:t> </w:t>
            </w:r>
          </w:p>
        </w:tc>
        <w:tc>
          <w:tcPr>
            <w:tcW w:w="51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8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warrants and subsequent subscription of shares by exercise of the warrants:</w:t>
            </w:r>
          </w:p>
        </w:tc>
      </w:tr>
      <w:tr>
        <w:trPr/>
        <w:tc>
          <w:tcPr>
            <w:tcW w:w="95" w:type="dxa"/>
            <w:tcBorders/>
            <w:vAlign w:val="center"/>
          </w:tcPr>
          <w:p>
            <w:pPr>
              <w:pStyle w:val="TableContents"/>
              <w:bidi w:val="0"/>
              <w:spacing w:before="0" w:after="283"/>
              <w:jc w:val="both"/>
              <w:rPr/>
            </w:pPr>
            <w:r>
              <w:rPr/>
              <w:t> </w:t>
            </w:r>
          </w:p>
        </w:tc>
        <w:tc>
          <w:tcPr>
            <w:tcW w:w="5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832"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1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mindste og det højeste beløb, hvormed aktiekapitalen skal kunne forhøjes på baggrund af de udstedte warrants, udgør henholdsvis nominelt DKK 1 og DKK 538.460, dog således at reguleringsmekanismerne i punkt 6 i vedtægternes bilag 5 kan resultere i et andet beløb.</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8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minimum and the maximum nominal amount of the capital increase(s) that can be subscribed for on the basis of the warrants is DKK 1 and DKK 538,460, respectively, provided, however, that the adjustment mechanisms in clause 6 of appendix 5 to the articles of association may result in a different amount.</w:t>
            </w:r>
          </w:p>
        </w:tc>
      </w:tr>
      <w:tr>
        <w:trPr/>
        <w:tc>
          <w:tcPr>
            <w:tcW w:w="95" w:type="dxa"/>
            <w:tcBorders/>
            <w:vAlign w:val="center"/>
          </w:tcPr>
          <w:p>
            <w:pPr>
              <w:pStyle w:val="TableContents"/>
              <w:bidi w:val="0"/>
              <w:spacing w:before="0" w:after="283"/>
              <w:jc w:val="both"/>
              <w:rPr/>
            </w:pPr>
            <w:r>
              <w:rPr/>
              <w:t> </w:t>
            </w:r>
          </w:p>
        </w:tc>
        <w:tc>
          <w:tcPr>
            <w:tcW w:w="5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832"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1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Tegningskursen for kapitalforhøjelsen er fastsat til USD 0,40 pr. aktie á nominelt DKK 1 omregnet til DKK til den officielle vekselkurs mellem DKK/USD som er gældende på udnyttelsesdagen, dog minimum DKK 1 pr. aktie à nominelt kr. 1, dog således at reguleringsmekanismerne i punkt 6 i vedtægternes bilag 5 kan resultere i en anden kurs.</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832" w:type="dxa"/>
            <w:tcBorders/>
            <w:vAlign w:val="center"/>
          </w:tcPr>
          <w:p>
            <w:pPr>
              <w:pStyle w:val="TableContents"/>
              <w:bidi w:val="0"/>
              <w:spacing w:before="0" w:after="283"/>
              <w:jc w:val="both"/>
              <w:rPr/>
            </w:pPr>
            <w:r>
              <w:rPr>
                <w:rFonts w:ascii="Times New Roman;Times;Serif" w:hAnsi="Times New Roman;Times;Serif"/>
                <w:sz w:val="20"/>
              </w:rPr>
              <w:t xml:space="preserve">The subscription will be made at a subscription price of USD 0.40 per share of nominal DKK 1.00 converted into DKK using the official exchange rate between DKK and USD on the exercise day, however no less than DKK 1 per share of nominal DKK and provided however that the adjustment mechanisms in clause 6 of </w:t>
            </w:r>
            <w:r>
              <w:rPr>
                <w:rFonts w:ascii="Times New Roman;Times;Serif" w:hAnsi="Times New Roman;Times;Serif"/>
              </w:rPr>
              <w:t>appendix 5 to the articles of association may result in a different subscription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
        <w:gridCol w:w="4951"/>
        <w:gridCol w:w="60"/>
        <w:gridCol w:w="530"/>
        <w:gridCol w:w="4119"/>
      </w:tblGrid>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10.000 (ekskl. moms).</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1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in connection with the capital increase to be borne by the company are approx. DKK 10,000 (excluding VAT).</w:t>
            </w:r>
          </w:p>
        </w:tc>
      </w:tr>
      <w:tr>
        <w:trPr/>
        <w:tc>
          <w:tcPr>
            <w:tcW w:w="545"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119"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Øvrige vilkår for de udstedte warrants og den senere tegning af aktier ved udnyttelse af disse warrants fremgår af vedtægternes bilag 5.</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1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terms and conditions applicable to the granted warrants and subsequent subscription of shares by exercise of the warrants are set forth in appendix 5 to the articles of association.</w:t>
            </w:r>
          </w:p>
        </w:tc>
      </w:tr>
      <w:tr>
        <w:trPr/>
        <w:tc>
          <w:tcPr>
            <w:tcW w:w="545"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119"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2.5.13</w:t>
            </w:r>
          </w:p>
        </w:tc>
        <w:tc>
          <w:tcPr>
            <w:tcW w:w="4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bemyndigelse fra generalforsamlingen i vedtægternes punkt 2.5 har bestyrelsen den 6. februar 2025 tildelt og udstedt i alt 1.372.407 warrants (justeret ved bestyrelsesbeslutning 19. marts 2025) og truffet beslutning om den til disse warrants hørende forhøjelse af selskabets aktiekapital. Warrants udstedes i øvrigt på de i bilag 5 angivne vilkår dog således at 1.167.199 warrants optjenes med 1/36 pr. md. fra og med 1. januar 2025 og 205.208 warrants (justeret ved bestyrelsesbeslutning 19. marts 2025) optjenes med 1/12 pr. md. fra og med 1. januar 2025 Bemyndigelsen i pkt. 2.5 er herefter nedsat til nominelt DKK 9.118.438,25 (justeret ved bestyrelsesbeslutning 19. marts 2025).</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2.5.13</w:t>
            </w:r>
          </w:p>
        </w:tc>
        <w:tc>
          <w:tcPr>
            <w:tcW w:w="41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authorization from the general meeting set out in article 2.5 of the articles of association the board of directors has on 6 February 2025 granted and issued 1,372,407 warrants (adjusted by decision of the board of directors on 19 March 2025) and resolved to carry out the increase of the company's share capital relating to the warrants. The warrants are issued on the terms and conditions set out in appendix 5 and provided, however, that 1,167,199 warrants vest with 1/36 per month from 1 January 2025 and 205,208 warrants (adjusted by decision of the board of directors on 19 March 2025) vest with 1/12 per month from 1 January 2025. The authorization in article 2.5 is hereafter reduced to nominal DKK 9,118,435.25 (adjusted by decision of the board of directors on 19 March 2025).</w:t>
            </w:r>
          </w:p>
        </w:tc>
      </w:tr>
      <w:tr>
        <w:trPr/>
        <w:tc>
          <w:tcPr>
            <w:tcW w:w="545"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119"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pPr>
            <w:r>
              <w:rPr>
                <w:rFonts w:ascii="Times New Roman;Times;Serif" w:hAnsi="Times New Roman;Times;Serif"/>
                <w:sz w:val="20"/>
              </w:rPr>
              <w:t xml:space="preserve">Hver warrant giver ret til tegning af én ordinær aktie á nominelt DKK 0,25 i selskabet til en tegningspris på USD 0,073 omregnet til DKK til den officielle vekselkurs </w:t>
            </w:r>
            <w:r>
              <w:rPr>
                <w:rFonts w:ascii="Times New Roman;Times;Serif" w:hAnsi="Times New Roman;Times;Serif"/>
              </w:rPr>
              <w:t>mellem DKK/USD som er gældende på udnyttelsesdagen, dog minimum DKK 0,25 pr. aktie à nominelt kr. 0,25, dog således at regulerings-mekanismerne i punkt 6 i vedtægternes bilag 5 kan resultere i et andet antal aktier og/eller en anden tegningskurs.</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119" w:type="dxa"/>
            <w:tcBorders/>
            <w:vAlign w:val="center"/>
          </w:tcPr>
          <w:p>
            <w:pPr>
              <w:pStyle w:val="TableContents"/>
              <w:bidi w:val="0"/>
              <w:spacing w:before="0" w:after="283"/>
              <w:jc w:val="both"/>
              <w:rPr/>
            </w:pPr>
            <w:r>
              <w:rPr>
                <w:rFonts w:ascii="Times New Roman;Times;Serif" w:hAnsi="Times New Roman;Times;Serif"/>
                <w:sz w:val="20"/>
              </w:rPr>
              <w:t>Each warrant confers the right to subscribe for one ordinary share of nominal DKK 0.25 in the company at a subscription price of USD 0,073 converted into DKK  </w:t>
            </w:r>
            <w:r>
              <w:rPr>
                <w:rFonts w:ascii="Times New Roman;Times;Serif" w:hAnsi="Times New Roman;Times;Serif"/>
              </w:rPr>
              <w:t>using the official exchange rate between DKK and USD on the exercise day, provided, however no less than DKK 0.25 per share of nominal DKK 0.25 provided, however, that the adjustment mechanisms in clause 6 of appendix 5 to the articles of association may result in a different number of shares and/or a different subscription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
        <w:gridCol w:w="5127"/>
        <w:gridCol w:w="60"/>
        <w:gridCol w:w="80"/>
        <w:gridCol w:w="4843"/>
      </w:tblGrid>
      <w:tr>
        <w:trPr/>
        <w:tc>
          <w:tcPr>
            <w:tcW w:w="95" w:type="dxa"/>
            <w:tcBorders/>
            <w:vAlign w:val="center"/>
          </w:tcPr>
          <w:p>
            <w:pPr>
              <w:pStyle w:val="TableContents"/>
              <w:bidi w:val="0"/>
              <w:spacing w:before="0" w:after="283"/>
              <w:jc w:val="both"/>
              <w:rPr/>
            </w:pPr>
            <w:r>
              <w:rPr/>
              <w:t> </w:t>
            </w:r>
          </w:p>
        </w:tc>
        <w:tc>
          <w:tcPr>
            <w:tcW w:w="51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warrants and subsequent subscription of shares by exercise of the warrants:</w:t>
            </w:r>
          </w:p>
        </w:tc>
      </w:tr>
      <w:tr>
        <w:trPr/>
        <w:tc>
          <w:tcPr>
            <w:tcW w:w="95" w:type="dxa"/>
            <w:tcBorders/>
            <w:vAlign w:val="center"/>
          </w:tcPr>
          <w:p>
            <w:pPr>
              <w:pStyle w:val="TableContents"/>
              <w:bidi w:val="0"/>
              <w:spacing w:before="0" w:after="283"/>
              <w:jc w:val="both"/>
              <w:rPr/>
            </w:pPr>
            <w:r>
              <w:rPr/>
              <w:t> </w:t>
            </w:r>
          </w:p>
        </w:tc>
        <w:tc>
          <w:tcPr>
            <w:tcW w:w="512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843"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1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mindste og det højeste beløb, hvormed aktiekapitalen skal kunne forhøjes på baggrund af de udstedte warrants, udgør henholdsvis nominelt DKK 0,25 og DKK 343.101,75 (justeret ved bestyrelsesbeslutning 19. marts 2025), dog således at reguleringsmekanismerne i punkt 6 i vedtægternes bilag 5 kan resultere i et andet beløb.</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minimum and the maximum nominal amount of the capital increase(s) that can be subscribed for on the basis of the warrants is DKK 0.25 and DKK 343,101.75 (adjusted by decision of the board of directors on 19 March 2025), respectively, provided, however, that the adjustment mechanisms in clause 6 of appendix 5 to the articles of association may result in a different amount.</w:t>
            </w:r>
          </w:p>
        </w:tc>
      </w:tr>
      <w:tr>
        <w:trPr/>
        <w:tc>
          <w:tcPr>
            <w:tcW w:w="95" w:type="dxa"/>
            <w:tcBorders/>
            <w:vAlign w:val="center"/>
          </w:tcPr>
          <w:p>
            <w:pPr>
              <w:pStyle w:val="TableContents"/>
              <w:bidi w:val="0"/>
              <w:spacing w:before="0" w:after="283"/>
              <w:jc w:val="both"/>
              <w:rPr/>
            </w:pPr>
            <w:r>
              <w:rPr/>
              <w:t> </w:t>
            </w:r>
          </w:p>
        </w:tc>
        <w:tc>
          <w:tcPr>
            <w:tcW w:w="512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843"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1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Tegningskursen for kapitalforhøjelsen er fastsat til USD 0,073 pr. aktie á nominelt DKK 0,25 omregnet til DKK til den officielle vekselkurs mellem DKK/USD som er gældende på udnyttelsesdagen, dog minimum DKK 0,25 pr. aktie à nominelt kr. 0,25, dog således at reguleringsmekanismerne i punkt 6 i vedtægternes bilag 5 kan resultere i en anden kurs.</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subscription will be made at a subscription price of USD 0,073 per share of nominal DKK 0.25 converted into DKK using the official exchange rate between DKK and USD on the exercise day, however no less than DKK 0.25 per share of nominal DKK 0.25 and provided, however, that the adjustment mechanisms in clause 6 of appendix 5 to the articles of association may result in a different subscription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
        <w:gridCol w:w="4468"/>
        <w:gridCol w:w="60"/>
        <w:gridCol w:w="80"/>
        <w:gridCol w:w="5502"/>
      </w:tblGrid>
      <w:tr>
        <w:trPr/>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4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10.000 (ekskl. moms).</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5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in connection with the capital increase to be borne by the company are approx. DKK 10,000 (excluding VAT).</w:t>
            </w:r>
          </w:p>
        </w:tc>
      </w:tr>
      <w:tr>
        <w:trPr/>
        <w:tc>
          <w:tcPr>
            <w:tcW w:w="95" w:type="dxa"/>
            <w:tcBorders/>
            <w:vAlign w:val="center"/>
          </w:tcPr>
          <w:p>
            <w:pPr>
              <w:pStyle w:val="TableContents"/>
              <w:bidi w:val="0"/>
              <w:spacing w:before="0" w:after="283"/>
              <w:jc w:val="both"/>
              <w:rPr/>
            </w:pPr>
            <w:r>
              <w:rPr/>
              <w:t> </w:t>
            </w:r>
          </w:p>
        </w:tc>
        <w:tc>
          <w:tcPr>
            <w:tcW w:w="446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5502"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pPr>
            <w:r>
              <w:rPr/>
              <w:t> </w:t>
            </w:r>
          </w:p>
        </w:tc>
        <w:tc>
          <w:tcPr>
            <w:tcW w:w="44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Øvrige vilkår for de udstedte warrants og den senere tegning af aktier ved udnyttelse af disse warrants fremgår af vedtægternes bilag 5.</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55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terms and conditions applicable to the granted warrants and subsequent subscription of shares by exercise of the warrants are set forth in appendix 5 to the articles of association.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35"/>
        <w:gridCol w:w="4919"/>
        <w:gridCol w:w="60"/>
        <w:gridCol w:w="620"/>
        <w:gridCol w:w="3971"/>
      </w:tblGrid>
      <w:tr>
        <w:trPr/>
        <w:tc>
          <w:tcPr>
            <w:tcW w:w="635" w:type="dxa"/>
            <w:tcBorders/>
            <w:vAlign w:val="center"/>
          </w:tcPr>
          <w:p>
            <w:pPr>
              <w:pStyle w:val="TableContents"/>
              <w:bidi w:val="0"/>
              <w:spacing w:before="0" w:after="283"/>
              <w:jc w:val="both"/>
              <w:rPr/>
            </w:pPr>
            <w:r>
              <w:rPr/>
              <w:t>2.5.14</w:t>
            </w:r>
          </w:p>
        </w:tc>
        <w:tc>
          <w:tcPr>
            <w:tcW w:w="4919" w:type="dxa"/>
            <w:tcBorders/>
            <w:vAlign w:val="center"/>
          </w:tcPr>
          <w:p>
            <w:pPr>
              <w:pStyle w:val="TableContents"/>
              <w:bidi w:val="0"/>
              <w:spacing w:before="0" w:after="283"/>
              <w:jc w:val="both"/>
              <w:rPr/>
            </w:pPr>
            <w:r>
              <w:rPr/>
              <w:t>I henhold til bemyndigelse fra generalforsamlingen i vedtægternes punkt 2.5 har bestyrelsen den 5. februar 2026 tildelt og udstedt i alt 6.544.725 warrants og truffet beslutning om den til disse warrants hørende forhøjelse af selskabets aktiekapital. Warrants udstedes i øvrigt på de i bilag 13 angivne vilkår dog således at 5.357.225 warrants optjenes med 1/36 pr. md. fra og med 1. januar 2026 og 687.500 warrants optjenes med 1/12 pr. md. fra og med 1. januar 2026 og 500.000 warrants anses for fuldt optjent på tildelingstidspunktet. Bemyndigelsen i pkt. 2.5 er herefter nedsat til nominelt DKK 7.482.257.</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b w:val="false"/>
              </w:rPr>
            </w:pPr>
            <w:r>
              <w:rPr>
                <w:b w:val="false"/>
              </w:rPr>
              <w:t>2.5.14</w:t>
            </w:r>
          </w:p>
        </w:tc>
        <w:tc>
          <w:tcPr>
            <w:tcW w:w="3971" w:type="dxa"/>
            <w:tcBorders/>
            <w:vAlign w:val="center"/>
          </w:tcPr>
          <w:p>
            <w:pPr>
              <w:pStyle w:val="TableContents"/>
              <w:bidi w:val="0"/>
              <w:spacing w:before="0" w:after="283"/>
              <w:jc w:val="both"/>
              <w:rPr>
                <w:b w:val="false"/>
              </w:rPr>
            </w:pPr>
            <w:r>
              <w:rPr>
                <w:b w:val="false"/>
              </w:rPr>
              <w:t>Pursuant to the authorization from the general meeting set out in article 2.5 of the articles of association the board of directors has on 5 February 2026 granted and issued 6,544,725 and resolved to carry out the increase of the company's share capital relating to the warrants. The warrants are issued on the terms and conditions set out in appendix 13 and provided, however, that 5,357,225 warrants vest with 1/36 per month from 1 January 2026 and 687,500 warrants vest with 1/12 per month from 1 January 2026 and 500,000 warrants shall be deemed fully vested at the time of grant. The authorization in article 2.5 is hereafter reduced to nominal DKK 7,482,257.</w:t>
            </w:r>
          </w:p>
        </w:tc>
      </w:tr>
      <w:tr>
        <w:trPr/>
        <w:tc>
          <w:tcPr>
            <w:tcW w:w="635" w:type="dxa"/>
            <w:tcBorders/>
            <w:vAlign w:val="center"/>
          </w:tcPr>
          <w:p>
            <w:pPr>
              <w:pStyle w:val="TableContents"/>
              <w:bidi w:val="0"/>
              <w:spacing w:before="0" w:after="283"/>
              <w:jc w:val="both"/>
              <w:rPr/>
            </w:pPr>
            <w:r>
              <w:rPr/>
              <w:t> </w:t>
            </w:r>
          </w:p>
        </w:tc>
        <w:tc>
          <w:tcPr>
            <w:tcW w:w="491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pPr>
            <w:r>
              <w:rPr/>
              <w:t> </w:t>
            </w:r>
          </w:p>
        </w:tc>
        <w:tc>
          <w:tcPr>
            <w:tcW w:w="3971" w:type="dxa"/>
            <w:tcBorders/>
            <w:vAlign w:val="center"/>
          </w:tcPr>
          <w:p>
            <w:pPr>
              <w:pStyle w:val="TableContents"/>
              <w:bidi w:val="0"/>
              <w:spacing w:before="0" w:after="283"/>
              <w:jc w:val="both"/>
              <w:rPr/>
            </w:pPr>
            <w:r>
              <w:rPr/>
              <w:t> </w:t>
            </w:r>
          </w:p>
        </w:tc>
      </w:tr>
      <w:tr>
        <w:trPr/>
        <w:tc>
          <w:tcPr>
            <w:tcW w:w="635" w:type="dxa"/>
            <w:tcBorders/>
            <w:vAlign w:val="center"/>
          </w:tcPr>
          <w:p>
            <w:pPr>
              <w:pStyle w:val="TableContents"/>
              <w:bidi w:val="0"/>
              <w:spacing w:before="0" w:after="283"/>
              <w:jc w:val="both"/>
              <w:rPr/>
            </w:pPr>
            <w:r>
              <w:rPr/>
              <w:t> </w:t>
            </w:r>
          </w:p>
        </w:tc>
        <w:tc>
          <w:tcPr>
            <w:tcW w:w="4919" w:type="dxa"/>
            <w:tcBorders/>
            <w:vAlign w:val="center"/>
          </w:tcPr>
          <w:p>
            <w:pPr>
              <w:pStyle w:val="TableContents"/>
              <w:bidi w:val="0"/>
              <w:spacing w:before="0" w:after="283"/>
              <w:jc w:val="both"/>
              <w:rPr>
                <w:b w:val="false"/>
              </w:rPr>
            </w:pPr>
            <w:r>
              <w:rPr>
                <w:b w:val="false"/>
              </w:rPr>
              <w:t>Hver warrant giver ret til tegning af én ordinær aktie á nominelt DKK 0,25 i selskabet til en tegningspris på USD 0,087 omregnet til DKK til den officielle vekselkurs mellem DKK/USD som er gældende på udnyttelsesdagen, dog minimum DKK 0,25 pr. aktie à nominelt kr. 0,25, og dog således at regulerings-mekanismerne i punkt 6 i vedtægternes bilag 13 kan resultere i et andet antal aktier og/eller en anden tegningskurs.</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pPr>
            <w:r>
              <w:rPr/>
              <w:t> </w:t>
            </w:r>
          </w:p>
        </w:tc>
        <w:tc>
          <w:tcPr>
            <w:tcW w:w="3971" w:type="dxa"/>
            <w:tcBorders/>
            <w:vAlign w:val="center"/>
          </w:tcPr>
          <w:p>
            <w:pPr>
              <w:pStyle w:val="TableContents"/>
              <w:bidi w:val="0"/>
              <w:spacing w:before="0" w:after="283"/>
              <w:jc w:val="both"/>
              <w:rPr>
                <w:b w:val="false"/>
              </w:rPr>
            </w:pPr>
            <w:r>
              <w:rPr>
                <w:b w:val="false"/>
              </w:rPr>
              <w:t>Each warrant confers the right to subscribe for one ordinary share of nominal DKK 0.25 in the company at a subscription price of USD 0.087 converted into DKK using the official exchange rate between DKK and USD on the exercise day, provided, however no less than DKK 0.25 per share of nominal DKK 0.25 and provided however that the adjustment mechanisms in clause 6 of appendix 13 to the articles of association may result in a different number of shares and/or a different subscription price.</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14"/>
        <w:gridCol w:w="4933"/>
        <w:gridCol w:w="60"/>
        <w:gridCol w:w="399"/>
        <w:gridCol w:w="4399"/>
      </w:tblGrid>
      <w:tr>
        <w:trPr/>
        <w:tc>
          <w:tcPr>
            <w:tcW w:w="414" w:type="dxa"/>
            <w:tcBorders/>
            <w:vAlign w:val="center"/>
          </w:tcPr>
          <w:p>
            <w:pPr>
              <w:pStyle w:val="TableContents"/>
              <w:bidi w:val="0"/>
              <w:spacing w:before="0" w:after="283"/>
              <w:jc w:val="both"/>
              <w:rPr/>
            </w:pPr>
            <w:r>
              <w:rPr/>
              <w:t> </w:t>
            </w:r>
          </w:p>
        </w:tc>
        <w:tc>
          <w:tcPr>
            <w:tcW w:w="4933" w:type="dxa"/>
            <w:tcBorders/>
            <w:vAlign w:val="center"/>
          </w:tcPr>
          <w:p>
            <w:pPr>
              <w:pStyle w:val="TableContents"/>
              <w:bidi w:val="0"/>
              <w:spacing w:before="0" w:after="283"/>
              <w:jc w:val="both"/>
              <w:rPr>
                <w:b w:val="false"/>
              </w:rPr>
            </w:pPr>
            <w:r>
              <w:rPr>
                <w:b w:val="false"/>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0"/>
              <w:ind w:left="720" w:right="0" w:hanging="0"/>
              <w:jc w:val="both"/>
              <w:rPr>
                <w:caps w:val="false"/>
                <w:smallCaps w:val="false"/>
              </w:rPr>
            </w:pPr>
            <w:r>
              <w:rPr>
                <w:caps w:val="false"/>
                <w:smallCaps w:val="false"/>
              </w:rPr>
              <w:t> </w:t>
            </w:r>
          </w:p>
        </w:tc>
        <w:tc>
          <w:tcPr>
            <w:tcW w:w="439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reference to the Danish Companies Act, the following terms and conditions shall apply in connection with the issue of the warrants and subsequent subscription of shares by exercise of the warrants:</w:t>
            </w:r>
          </w:p>
        </w:tc>
      </w:tr>
      <w:tr>
        <w:trPr/>
        <w:tc>
          <w:tcPr>
            <w:tcW w:w="414" w:type="dxa"/>
            <w:tcBorders/>
            <w:vAlign w:val="center"/>
          </w:tcPr>
          <w:p>
            <w:pPr>
              <w:pStyle w:val="TableContents"/>
              <w:bidi w:val="0"/>
              <w:spacing w:before="0" w:after="283"/>
              <w:jc w:val="both"/>
              <w:rPr/>
            </w:pPr>
            <w:r>
              <w:rPr/>
              <w:t> </w:t>
            </w:r>
          </w:p>
        </w:tc>
        <w:tc>
          <w:tcPr>
            <w:tcW w:w="493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pPr>
            <w:r>
              <w:rPr/>
              <w:t> </w:t>
            </w:r>
          </w:p>
        </w:tc>
        <w:tc>
          <w:tcPr>
            <w:tcW w:w="4399" w:type="dxa"/>
            <w:tcBorders/>
            <w:vAlign w:val="center"/>
          </w:tcPr>
          <w:p>
            <w:pPr>
              <w:pStyle w:val="TableContents"/>
              <w:bidi w:val="0"/>
              <w:spacing w:before="0" w:after="283"/>
              <w:jc w:val="left"/>
              <w:rPr/>
            </w:pPr>
            <w:r>
              <w:rPr/>
              <w:t> </w:t>
            </w:r>
          </w:p>
        </w:tc>
      </w:tr>
      <w:tr>
        <w:trPr/>
        <w:tc>
          <w:tcPr>
            <w:tcW w:w="414"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 xml:space="preserve">-      </w:t>
            </w:r>
          </w:p>
        </w:tc>
        <w:tc>
          <w:tcPr>
            <w:tcW w:w="4933" w:type="dxa"/>
            <w:tcBorders/>
            <w:vAlign w:val="center"/>
          </w:tcPr>
          <w:p>
            <w:pPr>
              <w:pStyle w:val="TableContents"/>
              <w:bidi w:val="0"/>
              <w:spacing w:before="0" w:after="283"/>
              <w:jc w:val="both"/>
              <w:rPr>
                <w:b w:val="false"/>
              </w:rPr>
            </w:pPr>
            <w:r>
              <w:rPr>
                <w:b w:val="false"/>
              </w:rPr>
              <w:t>Det mindste og det højeste beløb, hvormed aktiekapitalen skal kunne forhøjes på baggrund af de udstedte warrants, udgør henholdsvis nominelt DKK 0,25 og DKK 1.636.181,25, dog således at reguleringsmekanismerne i punkt 6 i vedtægternes bilag 13 kan resultere i et andet beløb.</w:t>
            </w:r>
          </w:p>
        </w:tc>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 xml:space="preserve">-      </w:t>
            </w:r>
          </w:p>
        </w:tc>
        <w:tc>
          <w:tcPr>
            <w:tcW w:w="4399" w:type="dxa"/>
            <w:tcBorders/>
            <w:vAlign w:val="center"/>
          </w:tcPr>
          <w:p>
            <w:pPr>
              <w:pStyle w:val="TableContents"/>
              <w:bidi w:val="0"/>
              <w:spacing w:before="0" w:after="283"/>
              <w:jc w:val="both"/>
              <w:rPr>
                <w:b w:val="false"/>
              </w:rPr>
            </w:pPr>
            <w:r>
              <w:rPr>
                <w:b w:val="false"/>
              </w:rPr>
              <w:t>The minimum and the maximum nominal amount of the capital increase(s) that can be subscribed for on the basis of the warrants is DKK 0.25 and DKK 1,636,181.25, respectively, provided, however, that the adjustment mechanisms in clause 6 of appendix 13 to the articles of association may result in a different amount.</w:t>
            </w:r>
          </w:p>
        </w:tc>
      </w:tr>
      <w:tr>
        <w:trPr/>
        <w:tc>
          <w:tcPr>
            <w:tcW w:w="414" w:type="dxa"/>
            <w:tcBorders/>
            <w:vAlign w:val="center"/>
          </w:tcPr>
          <w:p>
            <w:pPr>
              <w:pStyle w:val="TableContents"/>
              <w:bidi w:val="0"/>
              <w:spacing w:before="0" w:after="283"/>
              <w:jc w:val="both"/>
              <w:rPr/>
            </w:pPr>
            <w:r>
              <w:rPr/>
              <w:t> </w:t>
            </w:r>
          </w:p>
        </w:tc>
        <w:tc>
          <w:tcPr>
            <w:tcW w:w="493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both"/>
              <w:rPr/>
            </w:pPr>
            <w:r>
              <w:rPr/>
              <w:t> </w:t>
            </w:r>
          </w:p>
        </w:tc>
        <w:tc>
          <w:tcPr>
            <w:tcW w:w="4399" w:type="dxa"/>
            <w:tcBorders/>
            <w:vAlign w:val="center"/>
          </w:tcPr>
          <w:p>
            <w:pPr>
              <w:pStyle w:val="TableContents"/>
              <w:bidi w:val="0"/>
              <w:spacing w:before="0" w:after="283"/>
              <w:jc w:val="both"/>
              <w:rPr/>
            </w:pPr>
            <w:r>
              <w:rPr/>
              <w:t> </w:t>
            </w:r>
          </w:p>
        </w:tc>
      </w:tr>
      <w:tr>
        <w:trPr/>
        <w:tc>
          <w:tcPr>
            <w:tcW w:w="414"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 xml:space="preserve">-      </w:t>
            </w:r>
          </w:p>
        </w:tc>
        <w:tc>
          <w:tcPr>
            <w:tcW w:w="4933" w:type="dxa"/>
            <w:tcBorders/>
            <w:vAlign w:val="center"/>
          </w:tcPr>
          <w:p>
            <w:pPr>
              <w:pStyle w:val="TableContents"/>
              <w:bidi w:val="0"/>
              <w:spacing w:before="0" w:after="283"/>
              <w:jc w:val="both"/>
              <w:rPr>
                <w:b w:val="false"/>
              </w:rPr>
            </w:pPr>
            <w:r>
              <w:rPr>
                <w:b w:val="false"/>
              </w:rPr>
              <w:t>Tegningskursen for kapitalforhøjelsen er fastsat til USD 0,087 pr. aktie á nominelt DKK 0,25 omregnet til DKK til den officielle vekselkurs mellem DKK/USD som er gældende på udnyttelsesdagen, dog minimum DKK 0,25 pr. aktie à nominelt kr. 0,25, dog således at reguleringsmekanismerne i punkt 6 i vedtægternes bilag 13 kan resultere i en anden kurs.</w:t>
            </w:r>
          </w:p>
        </w:tc>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 xml:space="preserve">-      </w:t>
            </w:r>
          </w:p>
        </w:tc>
        <w:tc>
          <w:tcPr>
            <w:tcW w:w="4399" w:type="dxa"/>
            <w:tcBorders/>
            <w:vAlign w:val="center"/>
          </w:tcPr>
          <w:p>
            <w:pPr>
              <w:pStyle w:val="TableContents"/>
              <w:bidi w:val="0"/>
              <w:spacing w:before="0" w:after="283"/>
              <w:jc w:val="both"/>
              <w:rPr>
                <w:b w:val="false"/>
              </w:rPr>
            </w:pPr>
            <w:r>
              <w:rPr>
                <w:b w:val="false"/>
              </w:rPr>
              <w:t>The subscription will be made at a subscription price of USD 0.087 per share of nominal DKK 0.25 converted into DKK using the official exchange rate between DKK and USD on the exercise day, however no less than DKK 0.25 per share of nominal DKK 0.25 and provided however that the adjustment mechanisms in clause 6 of appendix 13 to the articles of association may result in a different subscription price.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35"/>
        <w:gridCol w:w="4861"/>
        <w:gridCol w:w="60"/>
        <w:gridCol w:w="620"/>
        <w:gridCol w:w="4029"/>
      </w:tblGrid>
      <w:tr>
        <w:trPr/>
        <w:tc>
          <w:tcPr>
            <w:tcW w:w="635"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 xml:space="preserve">-      </w:t>
            </w:r>
          </w:p>
        </w:tc>
        <w:tc>
          <w:tcPr>
            <w:tcW w:w="4861" w:type="dxa"/>
            <w:tcBorders/>
            <w:vAlign w:val="center"/>
          </w:tcPr>
          <w:p>
            <w:pPr>
              <w:pStyle w:val="TableContents"/>
              <w:bidi w:val="0"/>
              <w:spacing w:before="0" w:after="283"/>
              <w:jc w:val="both"/>
              <w:rPr>
                <w:b w:val="false"/>
              </w:rPr>
            </w:pPr>
            <w:r>
              <w:rPr>
                <w:b w:val="false"/>
              </w:rPr>
              <w:t>De anslåede omkostninger, der skal afholdes af selskabet ved kapitalforhøjelsen, udgør DKK 10.000 (ekskl. moms).</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 xml:space="preserve">-      </w:t>
            </w:r>
          </w:p>
        </w:tc>
        <w:tc>
          <w:tcPr>
            <w:tcW w:w="4029" w:type="dxa"/>
            <w:tcBorders/>
            <w:vAlign w:val="center"/>
          </w:tcPr>
          <w:p>
            <w:pPr>
              <w:pStyle w:val="TableContents"/>
              <w:bidi w:val="0"/>
              <w:spacing w:before="0" w:after="283"/>
              <w:jc w:val="both"/>
              <w:rPr>
                <w:b w:val="false"/>
              </w:rPr>
            </w:pPr>
            <w:r>
              <w:rPr>
                <w:b w:val="false"/>
              </w:rPr>
              <w:t>The costs in connection with the capital increase to be borne by the company are approx. DKK 10,000 (excluding VAT).</w:t>
            </w:r>
          </w:p>
        </w:tc>
      </w:tr>
      <w:tr>
        <w:trPr/>
        <w:tc>
          <w:tcPr>
            <w:tcW w:w="635" w:type="dxa"/>
            <w:tcBorders/>
            <w:vAlign w:val="center"/>
          </w:tcPr>
          <w:p>
            <w:pPr>
              <w:pStyle w:val="TableContents"/>
              <w:bidi w:val="0"/>
              <w:spacing w:before="0" w:after="283"/>
              <w:jc w:val="both"/>
              <w:rPr/>
            </w:pPr>
            <w:r>
              <w:rPr/>
              <w:t> </w:t>
            </w:r>
          </w:p>
        </w:tc>
        <w:tc>
          <w:tcPr>
            <w:tcW w:w="48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pPr>
            <w:r>
              <w:rPr/>
              <w:t> </w:t>
            </w:r>
          </w:p>
        </w:tc>
        <w:tc>
          <w:tcPr>
            <w:tcW w:w="4029" w:type="dxa"/>
            <w:tcBorders/>
            <w:vAlign w:val="center"/>
          </w:tcPr>
          <w:p>
            <w:pPr>
              <w:pStyle w:val="TableContents"/>
              <w:bidi w:val="0"/>
              <w:spacing w:before="0" w:after="283"/>
              <w:jc w:val="both"/>
              <w:rPr/>
            </w:pPr>
            <w:r>
              <w:rPr/>
              <w:t> </w:t>
            </w:r>
          </w:p>
        </w:tc>
      </w:tr>
      <w:tr>
        <w:trPr/>
        <w:tc>
          <w:tcPr>
            <w:tcW w:w="635" w:type="dxa"/>
            <w:tcBorders/>
            <w:vAlign w:val="center"/>
          </w:tcPr>
          <w:p>
            <w:pPr>
              <w:pStyle w:val="TableContents"/>
              <w:bidi w:val="0"/>
              <w:spacing w:before="0" w:after="283"/>
              <w:jc w:val="both"/>
              <w:rPr/>
            </w:pPr>
            <w:r>
              <w:rPr/>
              <w:t> </w:t>
            </w:r>
          </w:p>
        </w:tc>
        <w:tc>
          <w:tcPr>
            <w:tcW w:w="4861" w:type="dxa"/>
            <w:tcBorders/>
            <w:vAlign w:val="center"/>
          </w:tcPr>
          <w:p>
            <w:pPr>
              <w:pStyle w:val="TableContents"/>
              <w:bidi w:val="0"/>
              <w:spacing w:before="0" w:after="283"/>
              <w:jc w:val="both"/>
              <w:rPr>
                <w:b w:val="false"/>
              </w:rPr>
            </w:pPr>
            <w:r>
              <w:rPr>
                <w:b w:val="false"/>
              </w:rPr>
              <w:t>Øvrige vilkår for de udstedte warrants og den senere tegning af aktier ved udnyttelse af disse warrants fremgår af vedtægternes bilag 13.</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pPr>
            <w:r>
              <w:rPr/>
              <w:t> </w:t>
            </w:r>
          </w:p>
        </w:tc>
        <w:tc>
          <w:tcPr>
            <w:tcW w:w="4029" w:type="dxa"/>
            <w:tcBorders/>
            <w:vAlign w:val="center"/>
          </w:tcPr>
          <w:p>
            <w:pPr>
              <w:pStyle w:val="TableContents"/>
              <w:bidi w:val="0"/>
              <w:spacing w:before="0" w:after="283"/>
              <w:jc w:val="both"/>
              <w:rPr>
                <w:b w:val="false"/>
              </w:rPr>
            </w:pPr>
            <w:r>
              <w:rPr>
                <w:b w:val="false"/>
              </w:rPr>
              <w:t>Additional terms and conditions applicable to the granted warrants and subsequent subscription of shares by exercise of the warrants are set forth in appendix 13 to the articles of association.</w:t>
            </w:r>
          </w:p>
        </w:tc>
      </w:tr>
      <w:tr>
        <w:trPr/>
        <w:tc>
          <w:tcPr>
            <w:tcW w:w="635" w:type="dxa"/>
            <w:tcBorders/>
            <w:vAlign w:val="center"/>
          </w:tcPr>
          <w:p>
            <w:pPr>
              <w:pStyle w:val="TableContents"/>
              <w:bidi w:val="0"/>
              <w:spacing w:before="0" w:after="283"/>
              <w:jc w:val="both"/>
              <w:rPr/>
            </w:pPr>
            <w:r>
              <w:rPr/>
              <w:t> </w:t>
            </w:r>
          </w:p>
        </w:tc>
        <w:tc>
          <w:tcPr>
            <w:tcW w:w="48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pPr>
            <w:r>
              <w:rPr/>
              <w:t> </w:t>
            </w:r>
          </w:p>
        </w:tc>
        <w:tc>
          <w:tcPr>
            <w:tcW w:w="4029" w:type="dxa"/>
            <w:tcBorders/>
            <w:vAlign w:val="center"/>
          </w:tcPr>
          <w:p>
            <w:pPr>
              <w:pStyle w:val="TableContents"/>
              <w:bidi w:val="0"/>
              <w:spacing w:before="0" w:after="283"/>
              <w:jc w:val="both"/>
              <w:rPr/>
            </w:pPr>
            <w:r>
              <w:rPr/>
              <w:t> </w:t>
            </w:r>
          </w:p>
        </w:tc>
      </w:tr>
      <w:tr>
        <w:trPr/>
        <w:tc>
          <w:tcPr>
            <w:tcW w:w="635" w:type="dxa"/>
            <w:tcBorders/>
            <w:vAlign w:val="center"/>
          </w:tcPr>
          <w:p>
            <w:pPr>
              <w:pStyle w:val="TableContents"/>
              <w:bidi w:val="0"/>
              <w:spacing w:before="0" w:after="283"/>
              <w:jc w:val="both"/>
              <w:rPr/>
            </w:pPr>
            <w:r>
              <w:rPr/>
              <w:t>2.5.15</w:t>
            </w:r>
          </w:p>
        </w:tc>
        <w:tc>
          <w:tcPr>
            <w:tcW w:w="4861" w:type="dxa"/>
            <w:tcBorders/>
            <w:vAlign w:val="center"/>
          </w:tcPr>
          <w:p>
            <w:pPr>
              <w:pStyle w:val="TableContents"/>
              <w:bidi w:val="0"/>
              <w:spacing w:before="0" w:after="283"/>
              <w:jc w:val="both"/>
              <w:rPr/>
            </w:pPr>
            <w:r>
              <w:rPr/>
              <w:t>I henhold til bemyndigelse fra generalforsamlingen i vedtægternes punkt 2.5 har bestyrelsen den 16. februar 2026 tildelt og udstedt i alt 2.500.000 warrants og truffet beslutning om den til disse warrants hørende forhøjelse af selskabets aktiekapital. Warrants udstedes i øvrigt på de i bilag 5 angivne vilkår dog således at warrants optjenes med 1/36 pr. md. fra og med 1. november 2025. Bemyndigelsen i pkt. 2.5 er herefter nedsat til nominelt DKK 6.857.257.</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pPr>
            <w:r>
              <w:rPr/>
              <w:t>2.5.15</w:t>
            </w:r>
          </w:p>
        </w:tc>
        <w:tc>
          <w:tcPr>
            <w:tcW w:w="4029" w:type="dxa"/>
            <w:tcBorders/>
            <w:vAlign w:val="center"/>
          </w:tcPr>
          <w:p>
            <w:pPr>
              <w:pStyle w:val="TableContents"/>
              <w:bidi w:val="0"/>
              <w:spacing w:before="0" w:after="283"/>
              <w:jc w:val="both"/>
              <w:rPr/>
            </w:pPr>
            <w:r>
              <w:rPr/>
              <w:t>Pursuant to the authorization from the general meeting set out in article 2.5 of the articles of association the board of directors has on 16 February 2026 granted and issued 2,500,000 and resolved to carry out the increase of the company's share capital relating to the warrants. The warrants are issued on the terms and conditions set out in appendix 5 and provided, however, that the warrants vest with 1/36 per month from 1 November 2025. The authorization in article 2.5 is hereafter reduced to nominal DKK 6,857,257.</w:t>
            </w:r>
          </w:p>
        </w:tc>
      </w:tr>
      <w:tr>
        <w:trPr/>
        <w:tc>
          <w:tcPr>
            <w:tcW w:w="635" w:type="dxa"/>
            <w:tcBorders/>
            <w:vAlign w:val="center"/>
          </w:tcPr>
          <w:p>
            <w:pPr>
              <w:pStyle w:val="TableContents"/>
              <w:bidi w:val="0"/>
              <w:spacing w:before="0" w:after="283"/>
              <w:jc w:val="both"/>
              <w:rPr/>
            </w:pPr>
            <w:r>
              <w:rPr/>
              <w:t> </w:t>
            </w:r>
          </w:p>
        </w:tc>
        <w:tc>
          <w:tcPr>
            <w:tcW w:w="48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pPr>
            <w:r>
              <w:rPr/>
              <w:t> </w:t>
            </w:r>
          </w:p>
        </w:tc>
        <w:tc>
          <w:tcPr>
            <w:tcW w:w="4029" w:type="dxa"/>
            <w:tcBorders/>
            <w:vAlign w:val="center"/>
          </w:tcPr>
          <w:p>
            <w:pPr>
              <w:pStyle w:val="TableContents"/>
              <w:bidi w:val="0"/>
              <w:spacing w:before="0" w:after="283"/>
              <w:jc w:val="both"/>
              <w:rPr/>
            </w:pPr>
            <w:r>
              <w:rPr/>
              <w:t> </w:t>
            </w:r>
          </w:p>
        </w:tc>
      </w:tr>
      <w:tr>
        <w:trPr/>
        <w:tc>
          <w:tcPr>
            <w:tcW w:w="635" w:type="dxa"/>
            <w:tcBorders/>
            <w:vAlign w:val="center"/>
          </w:tcPr>
          <w:p>
            <w:pPr>
              <w:pStyle w:val="TableContents"/>
              <w:bidi w:val="0"/>
              <w:spacing w:before="0" w:after="283"/>
              <w:jc w:val="both"/>
              <w:rPr/>
            </w:pPr>
            <w:r>
              <w:rPr/>
              <w:t> </w:t>
            </w:r>
          </w:p>
        </w:tc>
        <w:tc>
          <w:tcPr>
            <w:tcW w:w="4861" w:type="dxa"/>
            <w:tcBorders/>
            <w:vAlign w:val="center"/>
          </w:tcPr>
          <w:p>
            <w:pPr>
              <w:pStyle w:val="TableContents"/>
              <w:bidi w:val="0"/>
              <w:spacing w:before="0" w:after="283"/>
              <w:jc w:val="both"/>
              <w:rPr>
                <w:b w:val="false"/>
              </w:rPr>
            </w:pPr>
            <w:r>
              <w:rPr>
                <w:b w:val="false"/>
              </w:rPr>
              <w:t>Hver warrant giver ret til tegning af én ordinær aktie á nominelt DKK 0,25 i selskabet til en tegningspris på USD 0,115 omregnet til DKK til den officielle vekselkurs mellem DKK/USD som er gældende på udnyttelsesdagen, dog minimum DKK 0,25 pr. aktie à nominelt kr. 0,25, og dog således at regulerings-mekanismerne i punkt 6 i vedtægternes bilag 5 kan resultere i et andet antal aktier og/eller en anden tegningskurs.</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both"/>
              <w:rPr/>
            </w:pPr>
            <w:r>
              <w:rPr/>
              <w:t> </w:t>
            </w:r>
          </w:p>
        </w:tc>
        <w:tc>
          <w:tcPr>
            <w:tcW w:w="4029" w:type="dxa"/>
            <w:tcBorders/>
            <w:vAlign w:val="center"/>
          </w:tcPr>
          <w:p>
            <w:pPr>
              <w:pStyle w:val="TableContents"/>
              <w:bidi w:val="0"/>
              <w:spacing w:before="0" w:after="283"/>
              <w:jc w:val="both"/>
              <w:rPr>
                <w:b w:val="false"/>
              </w:rPr>
            </w:pPr>
            <w:r>
              <w:rPr>
                <w:b w:val="false"/>
              </w:rPr>
              <w:t>Each warrant confers the right to subscribe for one ordinary share of nominal DKK 0.25 in the company at a subscription price of USD 0.115 converted into DKK using the official exchange rate between DKK and USD on the exercise day, provided, however no less than DKK 0.25 per share of nominal DKK 0.25 and provided however that the adjustment mechanisms in clause 6 of appendix 5 to the articles of association may result in a different number of shares and/or a different subscription price.</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14"/>
        <w:gridCol w:w="5145"/>
        <w:gridCol w:w="60"/>
        <w:gridCol w:w="399"/>
        <w:gridCol w:w="4187"/>
      </w:tblGrid>
      <w:tr>
        <w:trPr/>
        <w:tc>
          <w:tcPr>
            <w:tcW w:w="414" w:type="dxa"/>
            <w:tcBorders/>
            <w:vAlign w:val="center"/>
          </w:tcPr>
          <w:p>
            <w:pPr>
              <w:pStyle w:val="TableContents"/>
              <w:bidi w:val="0"/>
              <w:spacing w:before="0" w:after="283"/>
              <w:jc w:val="both"/>
              <w:rPr/>
            </w:pPr>
            <w:r>
              <w:rPr/>
              <w:t> </w:t>
            </w:r>
          </w:p>
        </w:tc>
        <w:tc>
          <w:tcPr>
            <w:tcW w:w="5145" w:type="dxa"/>
            <w:tcBorders/>
            <w:vAlign w:val="center"/>
          </w:tcPr>
          <w:p>
            <w:pPr>
              <w:pStyle w:val="TableContents"/>
              <w:bidi w:val="0"/>
              <w:spacing w:before="0" w:after="283"/>
              <w:jc w:val="both"/>
              <w:rPr>
                <w:b w:val="false"/>
              </w:rPr>
            </w:pPr>
            <w:r>
              <w:rPr>
                <w:b w:val="false"/>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both"/>
              <w:rPr/>
            </w:pPr>
            <w:r>
              <w:rPr/>
              <w:t> </w:t>
            </w:r>
          </w:p>
        </w:tc>
        <w:tc>
          <w:tcPr>
            <w:tcW w:w="4187" w:type="dxa"/>
            <w:tcBorders/>
            <w:vAlign w:val="center"/>
          </w:tcPr>
          <w:p>
            <w:pPr>
              <w:pStyle w:val="TableContents"/>
              <w:bidi w:val="0"/>
              <w:spacing w:before="0" w:after="283"/>
              <w:jc w:val="both"/>
              <w:rPr>
                <w:b w:val="false"/>
              </w:rPr>
            </w:pPr>
            <w:r>
              <w:rPr>
                <w:b w:val="false"/>
              </w:rPr>
              <w:t>With reference to the Danish Companies Act, the following terms and conditions shall apply in connection with the issue of the warrants and subsequent subscription of shares by exercise of the warrants:</w:t>
            </w:r>
          </w:p>
        </w:tc>
      </w:tr>
      <w:tr>
        <w:trPr/>
        <w:tc>
          <w:tcPr>
            <w:tcW w:w="414" w:type="dxa"/>
            <w:tcBorders/>
            <w:vAlign w:val="center"/>
          </w:tcPr>
          <w:p>
            <w:pPr>
              <w:pStyle w:val="TableContents"/>
              <w:bidi w:val="0"/>
              <w:spacing w:before="0" w:after="283"/>
              <w:jc w:val="both"/>
              <w:rPr/>
            </w:pPr>
            <w:r>
              <w:rPr/>
              <w:t> </w:t>
            </w:r>
          </w:p>
        </w:tc>
        <w:tc>
          <w:tcPr>
            <w:tcW w:w="51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both"/>
              <w:rPr/>
            </w:pPr>
            <w:r>
              <w:rPr/>
              <w:t> </w:t>
            </w:r>
          </w:p>
        </w:tc>
        <w:tc>
          <w:tcPr>
            <w:tcW w:w="4187" w:type="dxa"/>
            <w:tcBorders/>
            <w:vAlign w:val="center"/>
          </w:tcPr>
          <w:p>
            <w:pPr>
              <w:pStyle w:val="TableContents"/>
              <w:bidi w:val="0"/>
              <w:spacing w:before="0" w:after="283"/>
              <w:jc w:val="both"/>
              <w:rPr/>
            </w:pPr>
            <w:r>
              <w:rPr/>
              <w:t> </w:t>
            </w:r>
          </w:p>
        </w:tc>
      </w:tr>
      <w:tr>
        <w:trPr/>
        <w:tc>
          <w:tcPr>
            <w:tcW w:w="414"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 xml:space="preserve">-      </w:t>
            </w:r>
          </w:p>
        </w:tc>
        <w:tc>
          <w:tcPr>
            <w:tcW w:w="5145" w:type="dxa"/>
            <w:tcBorders/>
            <w:vAlign w:val="center"/>
          </w:tcPr>
          <w:p>
            <w:pPr>
              <w:pStyle w:val="TableContents"/>
              <w:bidi w:val="0"/>
              <w:spacing w:before="0" w:after="283"/>
              <w:jc w:val="both"/>
              <w:rPr>
                <w:b w:val="false"/>
              </w:rPr>
            </w:pPr>
            <w:r>
              <w:rPr>
                <w:b w:val="false"/>
              </w:rPr>
              <w:t>Det mindste og det højeste beløb, hvormed aktiekapitalen skal kunne forhøjes på baggrund af de udstedte warrants, udgør henholdsvis nominelt DKK 0,25 og DKK 625.000, dog således at reguleringsmekanismerne i punkt 6 i vedtægternes bilag 5 kan resultere i et andet beløb.</w:t>
            </w:r>
          </w:p>
        </w:tc>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 xml:space="preserve">-      </w:t>
            </w:r>
          </w:p>
        </w:tc>
        <w:tc>
          <w:tcPr>
            <w:tcW w:w="4187" w:type="dxa"/>
            <w:tcBorders/>
            <w:vAlign w:val="center"/>
          </w:tcPr>
          <w:p>
            <w:pPr>
              <w:pStyle w:val="TableContents"/>
              <w:bidi w:val="0"/>
              <w:spacing w:before="0" w:after="283"/>
              <w:jc w:val="both"/>
              <w:rPr>
                <w:b w:val="false"/>
              </w:rPr>
            </w:pPr>
            <w:r>
              <w:rPr>
                <w:b w:val="false"/>
              </w:rPr>
              <w:t>The minimum and the maximum nominal amount of the capital increase(s) that can be subscribed for on the basis of the warrants is DKK 0.25 and DKK 625,000, respectively, provided, however, that the adjustment mechanisms in clause 6 of appendix 5 to the articles of association may result in a different amount.</w:t>
            </w:r>
          </w:p>
        </w:tc>
      </w:tr>
      <w:tr>
        <w:trPr/>
        <w:tc>
          <w:tcPr>
            <w:tcW w:w="414" w:type="dxa"/>
            <w:tcBorders/>
            <w:vAlign w:val="center"/>
          </w:tcPr>
          <w:p>
            <w:pPr>
              <w:pStyle w:val="TableContents"/>
              <w:bidi w:val="0"/>
              <w:spacing w:before="0" w:after="283"/>
              <w:jc w:val="both"/>
              <w:rPr/>
            </w:pPr>
            <w:r>
              <w:rPr/>
              <w:t> </w:t>
            </w:r>
          </w:p>
        </w:tc>
        <w:tc>
          <w:tcPr>
            <w:tcW w:w="51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both"/>
              <w:rPr/>
            </w:pPr>
            <w:r>
              <w:rPr/>
              <w:t> </w:t>
            </w:r>
          </w:p>
        </w:tc>
        <w:tc>
          <w:tcPr>
            <w:tcW w:w="4187" w:type="dxa"/>
            <w:tcBorders/>
            <w:vAlign w:val="center"/>
          </w:tcPr>
          <w:p>
            <w:pPr>
              <w:pStyle w:val="TableContents"/>
              <w:bidi w:val="0"/>
              <w:spacing w:before="0" w:after="283"/>
              <w:jc w:val="both"/>
              <w:rPr/>
            </w:pPr>
            <w:r>
              <w:rPr/>
              <w:t> </w:t>
            </w:r>
          </w:p>
        </w:tc>
      </w:tr>
      <w:tr>
        <w:trPr/>
        <w:tc>
          <w:tcPr>
            <w:tcW w:w="414"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 xml:space="preserve">-      </w:t>
            </w:r>
          </w:p>
        </w:tc>
        <w:tc>
          <w:tcPr>
            <w:tcW w:w="5145" w:type="dxa"/>
            <w:tcBorders/>
            <w:vAlign w:val="center"/>
          </w:tcPr>
          <w:p>
            <w:pPr>
              <w:pStyle w:val="TableContents"/>
              <w:bidi w:val="0"/>
              <w:spacing w:before="0" w:after="283"/>
              <w:jc w:val="both"/>
              <w:rPr>
                <w:b w:val="false"/>
              </w:rPr>
            </w:pPr>
            <w:r>
              <w:rPr>
                <w:b w:val="false"/>
              </w:rPr>
              <w:t>Tegningskursen for kapitalforhøjelsen er fastsat til USD 0,115 pr. aktie á nominelt DKK 0,25 omregnet til DKK til den officielle vekselkurs mellem DKK/USD som er gældende på udnyttelsesdagen, dog minimum DKK 0,25 pr. aktie à nominelt kr. 0,25, dog således at reguleringsmekanismerne i punkt 6 i vedtægternes bilag 5 kan resultere i en anden kurs.</w:t>
            </w:r>
          </w:p>
        </w:tc>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 xml:space="preserve">-      </w:t>
            </w:r>
          </w:p>
        </w:tc>
        <w:tc>
          <w:tcPr>
            <w:tcW w:w="4187" w:type="dxa"/>
            <w:tcBorders/>
            <w:vAlign w:val="center"/>
          </w:tcPr>
          <w:p>
            <w:pPr>
              <w:pStyle w:val="TableContents"/>
              <w:bidi w:val="0"/>
              <w:spacing w:before="0" w:after="283"/>
              <w:jc w:val="both"/>
              <w:rPr>
                <w:b w:val="false"/>
              </w:rPr>
            </w:pPr>
            <w:r>
              <w:rPr>
                <w:b w:val="false"/>
              </w:rPr>
              <w:t>The subscription will be made at a subscription price of USD 0.115 per share of nominal DKK 0.25 converted into DKK using the official exchange rate between DKK and USD on the exercise day, however no less than DKK 0.25 per share of nominal DKK 0.25 and provided however that the adjustment mechanisms in clause 6 of appendix 5 to the articles of association may result in a different subscription price.</w:t>
            </w:r>
          </w:p>
        </w:tc>
      </w:tr>
      <w:tr>
        <w:trPr/>
        <w:tc>
          <w:tcPr>
            <w:tcW w:w="414" w:type="dxa"/>
            <w:tcBorders/>
            <w:vAlign w:val="center"/>
          </w:tcPr>
          <w:p>
            <w:pPr>
              <w:pStyle w:val="TableContents"/>
              <w:bidi w:val="0"/>
              <w:spacing w:before="0" w:after="283"/>
              <w:jc w:val="both"/>
              <w:rPr/>
            </w:pPr>
            <w:r>
              <w:rPr/>
              <w:t> </w:t>
            </w:r>
          </w:p>
        </w:tc>
        <w:tc>
          <w:tcPr>
            <w:tcW w:w="51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both"/>
              <w:rPr/>
            </w:pPr>
            <w:r>
              <w:rPr/>
              <w:t> </w:t>
            </w:r>
          </w:p>
        </w:tc>
        <w:tc>
          <w:tcPr>
            <w:tcW w:w="4187" w:type="dxa"/>
            <w:tcBorders/>
            <w:vAlign w:val="center"/>
          </w:tcPr>
          <w:p>
            <w:pPr>
              <w:pStyle w:val="TableContents"/>
              <w:bidi w:val="0"/>
              <w:spacing w:before="0" w:after="283"/>
              <w:jc w:val="both"/>
              <w:rPr/>
            </w:pPr>
            <w:r>
              <w:rPr/>
              <w:t> </w:t>
            </w:r>
          </w:p>
        </w:tc>
      </w:tr>
      <w:tr>
        <w:trPr/>
        <w:tc>
          <w:tcPr>
            <w:tcW w:w="414"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 xml:space="preserve">-      </w:t>
            </w:r>
          </w:p>
        </w:tc>
        <w:tc>
          <w:tcPr>
            <w:tcW w:w="5145" w:type="dxa"/>
            <w:tcBorders/>
            <w:vAlign w:val="center"/>
          </w:tcPr>
          <w:p>
            <w:pPr>
              <w:pStyle w:val="TableContents"/>
              <w:bidi w:val="0"/>
              <w:spacing w:before="0" w:after="283"/>
              <w:jc w:val="both"/>
              <w:rPr>
                <w:b w:val="false"/>
              </w:rPr>
            </w:pPr>
            <w:r>
              <w:rPr>
                <w:b w:val="false"/>
              </w:rPr>
              <w:t>De anslåede omkostninger, der skal afholdes af selskabet ved kapitalforhøjelsen, udgør DKK 10.000 (ekskl. moms).</w:t>
            </w:r>
          </w:p>
        </w:tc>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 xml:space="preserve">-      </w:t>
            </w:r>
          </w:p>
        </w:tc>
        <w:tc>
          <w:tcPr>
            <w:tcW w:w="4187" w:type="dxa"/>
            <w:tcBorders/>
            <w:vAlign w:val="center"/>
          </w:tcPr>
          <w:p>
            <w:pPr>
              <w:pStyle w:val="TableContents"/>
              <w:bidi w:val="0"/>
              <w:spacing w:before="0" w:after="283"/>
              <w:jc w:val="both"/>
              <w:rPr>
                <w:b w:val="false"/>
              </w:rPr>
            </w:pPr>
            <w:r>
              <w:rPr>
                <w:b w:val="false"/>
              </w:rPr>
              <w:t>The costs in connection with the capital increase to be borne by the company are approx. DKK 10,000 (excluding VAT).</w:t>
            </w:r>
          </w:p>
        </w:tc>
      </w:tr>
      <w:tr>
        <w:trPr/>
        <w:tc>
          <w:tcPr>
            <w:tcW w:w="414" w:type="dxa"/>
            <w:tcBorders/>
            <w:vAlign w:val="center"/>
          </w:tcPr>
          <w:p>
            <w:pPr>
              <w:pStyle w:val="TableContents"/>
              <w:bidi w:val="0"/>
              <w:spacing w:before="0" w:after="283"/>
              <w:jc w:val="both"/>
              <w:rPr/>
            </w:pPr>
            <w:r>
              <w:rPr/>
              <w:t> </w:t>
            </w:r>
          </w:p>
        </w:tc>
        <w:tc>
          <w:tcPr>
            <w:tcW w:w="51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both"/>
              <w:rPr/>
            </w:pPr>
            <w:r>
              <w:rPr/>
              <w:t> </w:t>
            </w:r>
          </w:p>
        </w:tc>
        <w:tc>
          <w:tcPr>
            <w:tcW w:w="4187" w:type="dxa"/>
            <w:tcBorders/>
            <w:vAlign w:val="center"/>
          </w:tcPr>
          <w:p>
            <w:pPr>
              <w:pStyle w:val="TableContents"/>
              <w:bidi w:val="0"/>
              <w:spacing w:before="0" w:after="283"/>
              <w:jc w:val="both"/>
              <w:rPr/>
            </w:pPr>
            <w:r>
              <w:rPr/>
              <w:t> </w:t>
            </w:r>
          </w:p>
        </w:tc>
      </w:tr>
      <w:tr>
        <w:trPr/>
        <w:tc>
          <w:tcPr>
            <w:tcW w:w="414"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 xml:space="preserve">-      </w:t>
            </w:r>
          </w:p>
        </w:tc>
        <w:tc>
          <w:tcPr>
            <w:tcW w:w="5145" w:type="dxa"/>
            <w:tcBorders/>
            <w:vAlign w:val="center"/>
          </w:tcPr>
          <w:p>
            <w:pPr>
              <w:pStyle w:val="TableContents"/>
              <w:bidi w:val="0"/>
              <w:spacing w:before="0" w:after="283"/>
              <w:jc w:val="both"/>
              <w:rPr>
                <w:b w:val="false"/>
              </w:rPr>
            </w:pPr>
            <w:r>
              <w:rPr>
                <w:b w:val="false"/>
              </w:rPr>
              <w:t>Øvrige vilkår for de udstedte warrants og den senere tegning af aktier ved udnyttelse af disse warrants fremgår af vedtægternes bilag 5.</w:t>
            </w:r>
          </w:p>
        </w:tc>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 xml:space="preserve">-      </w:t>
            </w:r>
          </w:p>
        </w:tc>
        <w:tc>
          <w:tcPr>
            <w:tcW w:w="4187" w:type="dxa"/>
            <w:tcBorders/>
            <w:vAlign w:val="center"/>
          </w:tcPr>
          <w:p>
            <w:pPr>
              <w:pStyle w:val="TableContents"/>
              <w:bidi w:val="0"/>
              <w:spacing w:before="0" w:after="283"/>
              <w:jc w:val="both"/>
              <w:rPr>
                <w:b w:val="false"/>
              </w:rPr>
            </w:pPr>
            <w:r>
              <w:rPr>
                <w:b w:val="false"/>
              </w:rPr>
              <w:t>Additional terms and conditions applicable to the granted warrants and subsequent subscription of shares by exercise of the warrants are set forth in appendix 5 to the articles of association</w:t>
            </w:r>
          </w:p>
        </w:tc>
      </w:tr>
      <w:tr>
        <w:trPr/>
        <w:tc>
          <w:tcPr>
            <w:tcW w:w="414" w:type="dxa"/>
            <w:tcBorders/>
            <w:vAlign w:val="center"/>
          </w:tcPr>
          <w:p>
            <w:pPr>
              <w:pStyle w:val="TableContents"/>
              <w:bidi w:val="0"/>
              <w:spacing w:before="0" w:after="283"/>
              <w:jc w:val="both"/>
              <w:rPr/>
            </w:pPr>
            <w:r>
              <w:rPr/>
              <w:t> </w:t>
            </w:r>
          </w:p>
        </w:tc>
        <w:tc>
          <w:tcPr>
            <w:tcW w:w="51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both"/>
              <w:rPr/>
            </w:pPr>
            <w:r>
              <w:rPr/>
              <w:t> </w:t>
            </w:r>
          </w:p>
        </w:tc>
        <w:tc>
          <w:tcPr>
            <w:tcW w:w="4187" w:type="dxa"/>
            <w:tcBorders/>
            <w:vAlign w:val="center"/>
          </w:tcPr>
          <w:p>
            <w:pPr>
              <w:pStyle w:val="TableContents"/>
              <w:bidi w:val="0"/>
              <w:spacing w:before="0" w:after="283"/>
              <w:jc w:val="both"/>
              <w:rPr/>
            </w:pPr>
            <w:r>
              <w:rPr/>
              <w:t> </w:t>
            </w:r>
          </w:p>
        </w:tc>
      </w:tr>
      <w:tr>
        <w:trPr/>
        <w:tc>
          <w:tcPr>
            <w:tcW w:w="414" w:type="dxa"/>
            <w:tcBorders/>
            <w:vAlign w:val="center"/>
          </w:tcPr>
          <w:p>
            <w:pPr>
              <w:pStyle w:val="TableContents"/>
              <w:bidi w:val="0"/>
              <w:spacing w:before="0" w:after="283"/>
              <w:jc w:val="both"/>
              <w:rPr/>
            </w:pPr>
            <w:r>
              <w:rPr/>
              <w:t> </w:t>
            </w:r>
          </w:p>
        </w:tc>
        <w:tc>
          <w:tcPr>
            <w:tcW w:w="5145" w:type="dxa"/>
            <w:tcBorders/>
            <w:vAlign w:val="center"/>
          </w:tcPr>
          <w:p>
            <w:pPr>
              <w:pStyle w:val="TableContents"/>
              <w:bidi w:val="0"/>
              <w:spacing w:before="0" w:after="283"/>
              <w:jc w:val="both"/>
              <w:rPr>
                <w:b w:val="false"/>
              </w:rPr>
            </w:pPr>
            <w:r>
              <w:rPr>
                <w:b w:val="false"/>
              </w:rPr>
              <w:t>Ved generalforsamlingsbeslutning den 16. april 2026 er bemyndigelsen i pkt. 2.5 forhøjet fra nominelt DKK 6.857.257 til nominelt DKK 11.900.000.</w:t>
            </w:r>
          </w:p>
        </w:tc>
        <w:tc>
          <w:tcPr>
            <w:tcW w:w="60"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both"/>
              <w:rPr/>
            </w:pPr>
            <w:r>
              <w:rPr/>
              <w:t> </w:t>
            </w:r>
          </w:p>
        </w:tc>
        <w:tc>
          <w:tcPr>
            <w:tcW w:w="4187" w:type="dxa"/>
            <w:tcBorders/>
            <w:vAlign w:val="center"/>
          </w:tcPr>
          <w:p>
            <w:pPr>
              <w:pStyle w:val="TableContents"/>
              <w:bidi w:val="0"/>
              <w:spacing w:before="0" w:after="283"/>
              <w:jc w:val="both"/>
              <w:rPr>
                <w:b w:val="false"/>
              </w:rPr>
            </w:pPr>
            <w:r>
              <w:rPr>
                <w:b w:val="false"/>
              </w:rPr>
              <w:t>By resolution of the general meeting on 16 April 2026 the authorization has been increased from nominal</w:t>
              <w:tab/>
              <w:t>DKK</w:t>
              <w:tab/>
              <w:t>6.857.257</w:t>
              <w:tab/>
              <w:t>to</w:t>
              <w:tab/>
              <w:t>nominal</w:t>
              <w:tab/>
              <w:t>DKK 11,900,000.</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4784"/>
        <w:gridCol w:w="60"/>
        <w:gridCol w:w="275"/>
        <w:gridCol w:w="4796"/>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2.6</w:t>
            </w:r>
          </w:p>
        </w:tc>
        <w:tc>
          <w:tcPr>
            <w:tcW w:w="47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 overensstemmelse med en tidligere version af bemyndigelsen i vedtægternes punkt 2.5 har selskabets bestyrelse på bestyrelsesmøde den 19. december 2016 truffet beslutning om at udstede indtil 758.448 warrants med ret til at tegne 758.448 aktier. Udstedelsen sker, uden fortegningsret for selskabets eksisterende kapitalejere, til medarbejdere på vilkår som nærmere fremgår af </w:t>
            </w:r>
            <w:r>
              <w:rPr>
                <w:rFonts w:ascii="Times New Roman;Times;Serif" w:hAnsi="Times New Roman;Times;Serif"/>
                <w:sz w:val="20"/>
                <w:u w:val="single"/>
              </w:rPr>
              <w:t>bilag 1</w:t>
            </w:r>
            <w:r>
              <w:rPr>
                <w:rFonts w:ascii="Times New Roman;Times;Serif" w:hAnsi="Times New Roman;Times;Serif"/>
                <w:sz w:val="20"/>
              </w:rPr>
              <w:t> som udgør en integreret del af disse vedtægter. Tegningen af de tildelte warrants skal ske skriftligt inden den 31. december 2036.</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2.6</w:t>
            </w:r>
          </w:p>
        </w:tc>
        <w:tc>
          <w:tcPr>
            <w:tcW w:w="47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accordance with a previous version of the authorization in section 2.5 of the articles of association, the board of directors has at their board meeting December 19</w:t>
            </w:r>
            <w:r>
              <w:rPr>
                <w:rFonts w:ascii="Times New Roman;Times;Serif" w:hAnsi="Times New Roman;Times;Serif"/>
                <w:position w:val="7"/>
                <w:sz w:val="16"/>
                <w:sz w:val="20"/>
              </w:rPr>
              <w:t>th</w:t>
            </w:r>
            <w:r>
              <w:rPr>
                <w:rFonts w:ascii="Times New Roman;Times;Serif" w:hAnsi="Times New Roman;Times;Serif"/>
                <w:sz w:val="20"/>
              </w:rPr>
              <w:t xml:space="preserve"> 2016, decided to issue up to 758,448 warrants with subscription right to 758,448 shares to the employees or board members of the group of companies on terms as specified in </w:t>
            </w:r>
            <w:r>
              <w:rPr>
                <w:rFonts w:ascii="Times New Roman;Times;Serif" w:hAnsi="Times New Roman;Times;Serif"/>
                <w:sz w:val="20"/>
                <w:u w:val="single"/>
              </w:rPr>
              <w:t>appendix 1</w:t>
            </w:r>
            <w:r>
              <w:rPr>
                <w:rFonts w:ascii="Times New Roman;Times;Serif" w:hAnsi="Times New Roman;Times;Serif"/>
                <w:sz w:val="20"/>
              </w:rPr>
              <w:t>, which constitutes an integrated part of these articles of association The issuing of warrants is without pre-emptive rights to the existing shareholders. Subscription shall be made in writing before December 31</w:t>
            </w:r>
            <w:r>
              <w:rPr>
                <w:rFonts w:ascii="Times New Roman;Times;Serif" w:hAnsi="Times New Roman;Times;Serif"/>
                <w:position w:val="7"/>
                <w:sz w:val="16"/>
                <w:sz w:val="20"/>
              </w:rPr>
              <w:t>st</w:t>
            </w:r>
            <w:r>
              <w:rPr>
                <w:rFonts w:ascii="Times New Roman;Times;Serif" w:hAnsi="Times New Roman;Times;Serif"/>
                <w:sz w:val="20"/>
              </w:rPr>
              <w:t xml:space="preserve"> 2036.</w:t>
            </w:r>
          </w:p>
        </w:tc>
      </w:tr>
      <w:tr>
        <w:trPr/>
        <w:tc>
          <w:tcPr>
            <w:tcW w:w="290" w:type="dxa"/>
            <w:tcBorders/>
            <w:vAlign w:val="center"/>
          </w:tcPr>
          <w:p>
            <w:pPr>
              <w:pStyle w:val="TableContents"/>
              <w:bidi w:val="0"/>
              <w:spacing w:before="0" w:after="283"/>
              <w:jc w:val="both"/>
              <w:rPr/>
            </w:pPr>
            <w:r>
              <w:rPr/>
              <w:t> </w:t>
            </w:r>
          </w:p>
        </w:tc>
        <w:tc>
          <w:tcPr>
            <w:tcW w:w="478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96"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pPr>
            <w:r>
              <w:rPr/>
              <w:t> </w:t>
            </w:r>
          </w:p>
        </w:tc>
        <w:tc>
          <w:tcPr>
            <w:tcW w:w="47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Samtidig har bestyrelsen truffet beslutning om den dertil hørende kapitalforhøjelse, således at selskabskapitalen kan forhøjes med op til 758.448 aktier. Selskabets kapitalejere skal ikke have fortegningsret til aktier, som udstedes ved udnyttelse af warrants. De nærmere vilkår for kapitalforhøjelsen fremgår ligeledes af bilag 1.</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same time the board of directors has decided upon the related capital increase, such that the capital of the company can be increased by up to 758,448 shares. The company's shareholders shall not have priority subscription rights to shares issued by the exercise of warrants. The terms for this capital increase are also specified in appendix 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4823"/>
        <w:gridCol w:w="60"/>
        <w:gridCol w:w="275"/>
        <w:gridCol w:w="4757"/>
      </w:tblGrid>
      <w:tr>
        <w:trPr/>
        <w:tc>
          <w:tcPr>
            <w:tcW w:w="290" w:type="dxa"/>
            <w:tcBorders/>
            <w:vAlign w:val="center"/>
          </w:tcPr>
          <w:p>
            <w:pPr>
              <w:pStyle w:val="TableContents"/>
              <w:bidi w:val="0"/>
              <w:spacing w:before="0" w:after="283"/>
              <w:jc w:val="both"/>
              <w:rPr/>
            </w:pPr>
            <w:r>
              <w:rPr/>
              <w:t> </w:t>
            </w:r>
          </w:p>
        </w:tc>
        <w:tc>
          <w:tcPr>
            <w:tcW w:w="48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overensstemmelse med en tidligere version af bemyndigelsen i vedtægternes punkt 2.5 har selskabets bestyrelse på bestyrelsesmøde den 10. september 2017 truffet beslutning om at udstede indtil 632.700 warrants med ret til at tegne 632.700 aktier. Udstedelsen sker, uden fortegningsret for selskabets eksisterende kapitalejere, til selskabets CEO og til medarbejdere på vilkår som nærmere fremgår af bilag 1 (15.516 warrants til medarbejderne) og bilag 2 (617.184 warrants til CEO) til vedtægterne.</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accordance with a previous version of the authorization in article 2.5 of the articles of association, the board of directors has at their board meeting on 10 September 2017, decided to issue up to 632,700 warrants with subscription right to 632,700 shares. The issue is made without pre-emption right to the existing shareholders to the CEO and employees of the company on terms as specified in appendix 1 (15,516 warrants to the employees) and appendix 2 (617,184 warrants to the CEO) to the articles of association.</w:t>
            </w:r>
          </w:p>
        </w:tc>
      </w:tr>
      <w:tr>
        <w:trPr/>
        <w:tc>
          <w:tcPr>
            <w:tcW w:w="290" w:type="dxa"/>
            <w:tcBorders/>
            <w:vAlign w:val="center"/>
          </w:tcPr>
          <w:p>
            <w:pPr>
              <w:pStyle w:val="TableContents"/>
              <w:bidi w:val="0"/>
              <w:spacing w:before="0" w:after="283"/>
              <w:jc w:val="both"/>
              <w:rPr/>
            </w:pPr>
            <w:r>
              <w:rPr/>
              <w:t> </w:t>
            </w:r>
          </w:p>
        </w:tc>
        <w:tc>
          <w:tcPr>
            <w:tcW w:w="482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57"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pPr>
            <w:r>
              <w:rPr/>
              <w:t> </w:t>
            </w:r>
          </w:p>
        </w:tc>
        <w:tc>
          <w:tcPr>
            <w:tcW w:w="48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Samtidig har bestyrelsen truffet beslutning om den dertil hørende kapitalforhøjelse således at selskabskapitalen kan forhøjes med op til 632.700 aktier. Selskabets kapitalejere skal ikke have fortegningsret til aktier, som udstedes ved udnyttelse af warrants. De nærmere vilkår for kapitalforhøjelsen fremgår ligeledes af bilag 2.</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same time, the board of directors has decided upon the related capital increase, such that the capital of the company can be increased by up to 632,700. The company's shareholders shall not have priority subscription rights to shares issued by the exercise of warrants. The terms for this capital increase are also specified in appendix 2.</w:t>
            </w:r>
          </w:p>
        </w:tc>
      </w:tr>
      <w:tr>
        <w:trPr/>
        <w:tc>
          <w:tcPr>
            <w:tcW w:w="290" w:type="dxa"/>
            <w:tcBorders/>
            <w:vAlign w:val="center"/>
          </w:tcPr>
          <w:p>
            <w:pPr>
              <w:pStyle w:val="TableContents"/>
              <w:bidi w:val="0"/>
              <w:spacing w:before="0" w:after="283"/>
              <w:jc w:val="both"/>
              <w:rPr/>
            </w:pPr>
            <w:r>
              <w:rPr/>
              <w:t> </w:t>
            </w:r>
          </w:p>
        </w:tc>
        <w:tc>
          <w:tcPr>
            <w:tcW w:w="482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57"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2.7</w:t>
            </w:r>
          </w:p>
        </w:tc>
        <w:tc>
          <w:tcPr>
            <w:tcW w:w="48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Bestyrelsen er i perioden indtil den 1. september 2023 bemyndiget til ad en eller flere gange at udstede warrants til selskabets nøglemedarbejdere, bestyrelse samt konsulenter med ret til at tegne op til 141.804 aktier i selskabet. Selskabets aktionærer skal ikke have fortegningsret ved bestyrelsens udnyttelse af denne bemyndigelse. De nærmere vilkår fastsættes af bestyrelsen.</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2.7</w:t>
            </w:r>
          </w:p>
        </w:tc>
        <w:tc>
          <w:tcPr>
            <w:tcW w:w="47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period up until 1 September 2023, the board of directors is authorized, once or in several rounds, to issue warrants to company's key employees, board of directors and consultants to subscribe for up to 141,804 shares in the Company. The Company's shareholders shall not have any pre-emptive rights when the Board of Directors exercises this authorization. The relevant terms and conditions are decided by the board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4863"/>
        <w:gridCol w:w="60"/>
        <w:gridCol w:w="60"/>
        <w:gridCol w:w="5037"/>
      </w:tblGrid>
      <w:tr>
        <w:trPr/>
        <w:tc>
          <w:tcPr>
            <w:tcW w:w="185" w:type="dxa"/>
            <w:tcBorders/>
            <w:vAlign w:val="center"/>
          </w:tcPr>
          <w:p>
            <w:pPr>
              <w:pStyle w:val="TableContents"/>
              <w:bidi w:val="0"/>
              <w:spacing w:before="0" w:after="283"/>
              <w:jc w:val="both"/>
              <w:rPr/>
            </w:pPr>
            <w:r>
              <w:rPr/>
              <w:t> </w:t>
            </w:r>
          </w:p>
        </w:tc>
        <w:tc>
          <w:tcPr>
            <w:tcW w:w="4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Bestyrelsen er i perioden indtil den 1. september 2023 endvidere bemyndiget til ad en eller flere gange at forhøje selskabets aktiekapital med op til 141.804 aktier ved kontant indbetaling i forbindelse med udnyttelse af warrantene. Selskabets aktionærer skal ikke have fortegningsret til aktier, som udstedes ved udnyttelse af udstedte warrants. For aktier udstedt i henhold til denne bemyndigelse skal gælde:</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37" w:type="dxa"/>
            <w:tcBorders/>
            <w:vAlign w:val="center"/>
          </w:tcPr>
          <w:p>
            <w:pPr>
              <w:pStyle w:val="TableContents"/>
              <w:bidi w:val="0"/>
              <w:spacing w:before="0" w:after="283"/>
              <w:jc w:val="both"/>
              <w:rPr/>
            </w:pPr>
            <w:r>
              <w:rPr>
                <w:rFonts w:ascii="Times New Roman;Times;Serif" w:hAnsi="Times New Roman;Times;Serif"/>
                <w:sz w:val="20"/>
              </w:rPr>
              <w:t xml:space="preserve">Furthermore, the Board of Directors is in the period up to 1 September 2023 authorized, once or in several rounds, to raise the Company's share capital by up to 141,804 shares through cash contribution </w:t>
            </w:r>
            <w:r>
              <w:rPr>
                <w:rFonts w:ascii="Times New Roman;Times;Serif" w:hAnsi="Times New Roman;Times;Serif"/>
              </w:rPr>
              <w:t>when exercising the warrants. The Company's shareholders do not have any pre-emptive rights in respect of shares issued in connection with the exercise of issued warrants. The following shall apply to shares issued in accordance with this authorization:</w:t>
            </w:r>
          </w:p>
        </w:tc>
      </w:tr>
      <w:tr>
        <w:trPr/>
        <w:tc>
          <w:tcPr>
            <w:tcW w:w="185" w:type="dxa"/>
            <w:tcBorders/>
            <w:vAlign w:val="center"/>
          </w:tcPr>
          <w:p>
            <w:pPr>
              <w:pStyle w:val="TableContents"/>
              <w:bidi w:val="0"/>
              <w:spacing w:before="0" w:after="283"/>
              <w:jc w:val="both"/>
              <w:rPr/>
            </w:pPr>
            <w:r>
              <w:rPr/>
              <w:t> </w:t>
            </w:r>
          </w:p>
        </w:tc>
        <w:tc>
          <w:tcPr>
            <w:tcW w:w="486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37"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at</w:t>
            </w:r>
          </w:p>
        </w:tc>
        <w:tc>
          <w:tcPr>
            <w:tcW w:w="4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aktierne skal lyde på navn,</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shall be issued in name;</w:t>
            </w:r>
          </w:p>
        </w:tc>
      </w:tr>
      <w:tr>
        <w:trPr/>
        <w:tc>
          <w:tcPr>
            <w:tcW w:w="185" w:type="dxa"/>
            <w:tcBorders/>
            <w:vAlign w:val="center"/>
          </w:tcPr>
          <w:p>
            <w:pPr>
              <w:pStyle w:val="TableContents"/>
              <w:bidi w:val="0"/>
              <w:spacing w:before="0" w:after="283"/>
              <w:jc w:val="both"/>
              <w:rPr/>
            </w:pPr>
            <w:r>
              <w:rPr/>
              <w:t> </w:t>
            </w:r>
          </w:p>
        </w:tc>
        <w:tc>
          <w:tcPr>
            <w:tcW w:w="486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37"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at</w:t>
            </w:r>
          </w:p>
        </w:tc>
        <w:tc>
          <w:tcPr>
            <w:tcW w:w="4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aktierne skal være ikke-omsætningspapirer,</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shall be non-negotiable instruments;</w:t>
            </w:r>
          </w:p>
        </w:tc>
      </w:tr>
      <w:tr>
        <w:trPr/>
        <w:tc>
          <w:tcPr>
            <w:tcW w:w="185" w:type="dxa"/>
            <w:tcBorders/>
            <w:vAlign w:val="center"/>
          </w:tcPr>
          <w:p>
            <w:pPr>
              <w:pStyle w:val="TableContents"/>
              <w:bidi w:val="0"/>
              <w:spacing w:before="0" w:after="283"/>
              <w:jc w:val="both"/>
              <w:rPr/>
            </w:pPr>
            <w:r>
              <w:rPr/>
              <w:t> </w:t>
            </w:r>
          </w:p>
        </w:tc>
        <w:tc>
          <w:tcPr>
            <w:tcW w:w="486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37"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at</w:t>
            </w:r>
          </w:p>
        </w:tc>
        <w:tc>
          <w:tcPr>
            <w:tcW w:w="4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selskabets hidtidige aktionærer ikke skal have fortegningsret til aktierne,</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present shareholders do not have pre-emptive rights to subscribe for these shares;</w:t>
            </w:r>
          </w:p>
        </w:tc>
      </w:tr>
      <w:tr>
        <w:trPr/>
        <w:tc>
          <w:tcPr>
            <w:tcW w:w="185" w:type="dxa"/>
            <w:tcBorders/>
            <w:vAlign w:val="center"/>
          </w:tcPr>
          <w:p>
            <w:pPr>
              <w:pStyle w:val="TableContents"/>
              <w:bidi w:val="0"/>
              <w:spacing w:before="0" w:after="283"/>
              <w:jc w:val="both"/>
              <w:rPr/>
            </w:pPr>
            <w:r>
              <w:rPr/>
              <w:t> </w:t>
            </w:r>
          </w:p>
        </w:tc>
        <w:tc>
          <w:tcPr>
            <w:tcW w:w="486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37"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at</w:t>
            </w:r>
          </w:p>
        </w:tc>
        <w:tc>
          <w:tcPr>
            <w:tcW w:w="4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der ikke kan ske delvis indbetaling,</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partial payment of the shares is allowed;</w:t>
            </w:r>
          </w:p>
        </w:tc>
      </w:tr>
      <w:tr>
        <w:trPr/>
        <w:tc>
          <w:tcPr>
            <w:tcW w:w="185" w:type="dxa"/>
            <w:tcBorders/>
            <w:vAlign w:val="center"/>
          </w:tcPr>
          <w:p>
            <w:pPr>
              <w:pStyle w:val="TableContents"/>
              <w:bidi w:val="0"/>
              <w:spacing w:before="0" w:after="283"/>
              <w:jc w:val="both"/>
              <w:rPr/>
            </w:pPr>
            <w:r>
              <w:rPr/>
              <w:t> </w:t>
            </w:r>
          </w:p>
        </w:tc>
        <w:tc>
          <w:tcPr>
            <w:tcW w:w="486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37"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at</w:t>
            </w:r>
          </w:p>
        </w:tc>
        <w:tc>
          <w:tcPr>
            <w:tcW w:w="4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aktierne ikke skal have særlige rettigheder, og</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do not carry any special rights; and</w:t>
            </w:r>
          </w:p>
        </w:tc>
      </w:tr>
      <w:tr>
        <w:trPr/>
        <w:tc>
          <w:tcPr>
            <w:tcW w:w="185" w:type="dxa"/>
            <w:tcBorders/>
            <w:vAlign w:val="center"/>
          </w:tcPr>
          <w:p>
            <w:pPr>
              <w:pStyle w:val="TableContents"/>
              <w:bidi w:val="0"/>
              <w:spacing w:before="0" w:after="283"/>
              <w:jc w:val="both"/>
              <w:rPr/>
            </w:pPr>
            <w:r>
              <w:rPr/>
              <w:t> </w:t>
            </w:r>
          </w:p>
        </w:tc>
        <w:tc>
          <w:tcPr>
            <w:tcW w:w="486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37"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at</w:t>
            </w:r>
          </w:p>
        </w:tc>
        <w:tc>
          <w:tcPr>
            <w:tcW w:w="4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der af bestyrelsen kan fastsættes begrænsninger i aktiernes omsættelighed i form af krav om samtykke fra selskabet, forkøbsret til andre aktionærer m.v.</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of Directors may stipulate restrictions in the negotiability of the shares, such as required permission by the Company, pre-emptive purchase right for other shareholders, etc.</w:t>
            </w:r>
          </w:p>
        </w:tc>
      </w:tr>
      <w:tr>
        <w:trPr/>
        <w:tc>
          <w:tcPr>
            <w:tcW w:w="185" w:type="dxa"/>
            <w:tcBorders/>
            <w:vAlign w:val="center"/>
          </w:tcPr>
          <w:p>
            <w:pPr>
              <w:pStyle w:val="TableContents"/>
              <w:bidi w:val="0"/>
              <w:spacing w:before="0" w:after="283"/>
              <w:jc w:val="both"/>
              <w:rPr/>
            </w:pPr>
            <w:r>
              <w:rPr/>
              <w:t> </w:t>
            </w:r>
          </w:p>
        </w:tc>
        <w:tc>
          <w:tcPr>
            <w:tcW w:w="486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37"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both"/>
              <w:rPr/>
            </w:pPr>
            <w:r>
              <w:rPr/>
              <w:t> </w:t>
            </w:r>
          </w:p>
        </w:tc>
        <w:tc>
          <w:tcPr>
            <w:tcW w:w="4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Bestyrelsen bemyndiges endvidere til at foretage de ændringer i selskabets vedtægter, som måtte være nødvendige som følge af bestyrelsens udnyttelse af ovenstående bemyndigelse.</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of directors is furthermore authorized to adopt such changes to the company's articles of association as may be required as a result of the board of directors' exercise of the above authorization.</w:t>
            </w:r>
          </w:p>
        </w:tc>
      </w:tr>
      <w:tr>
        <w:trPr/>
        <w:tc>
          <w:tcPr>
            <w:tcW w:w="185" w:type="dxa"/>
            <w:tcBorders/>
            <w:vAlign w:val="center"/>
          </w:tcPr>
          <w:p>
            <w:pPr>
              <w:pStyle w:val="TableContents"/>
              <w:bidi w:val="0"/>
              <w:spacing w:before="0" w:after="283"/>
              <w:jc w:val="both"/>
              <w:rPr/>
            </w:pPr>
            <w:r>
              <w:rPr/>
              <w:t> </w:t>
            </w:r>
          </w:p>
        </w:tc>
        <w:tc>
          <w:tcPr>
            <w:tcW w:w="486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37"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both"/>
              <w:rPr/>
            </w:pPr>
            <w:r>
              <w:rPr/>
              <w:t> </w:t>
            </w:r>
          </w:p>
        </w:tc>
        <w:tc>
          <w:tcPr>
            <w:tcW w:w="4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overensstemmelse med bemyndigelsen i vedtægternes punkt 2.7 har selskabets bestyrelse på bestyrelsesmøde den 19. december 2017 truffet beslutning om at udstede indtil 141.804 warrants med ret til at tegne 141.804 aktier. Udstedelsen sker, uden fortegningsret for selskabets eksisterende kapitalejere på vilkår, som nærmere fremgår af bilag 3 til vedtægterne.</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accordance with the authorization in article 2.7 of the articles of association, the board of directors has at their board meeting on 19 December 2017, decided to issue up to 141,804 warrants with subscription right to 141,804 shares. The issue is made without pre-emption right to the existing shareholders on terms as specified in appendix 3 to the articles of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4734"/>
        <w:gridCol w:w="60"/>
        <w:gridCol w:w="275"/>
        <w:gridCol w:w="4846"/>
      </w:tblGrid>
      <w:tr>
        <w:trPr/>
        <w:tc>
          <w:tcPr>
            <w:tcW w:w="290" w:type="dxa"/>
            <w:tcBorders/>
            <w:vAlign w:val="center"/>
          </w:tcPr>
          <w:p>
            <w:pPr>
              <w:pStyle w:val="TableContents"/>
              <w:bidi w:val="0"/>
              <w:spacing w:before="0" w:after="283"/>
              <w:jc w:val="both"/>
              <w:rPr/>
            </w:pPr>
            <w:r>
              <w:rPr/>
              <w:t> </w:t>
            </w:r>
          </w:p>
        </w:tc>
        <w:tc>
          <w:tcPr>
            <w:tcW w:w="47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Samtidig har bestyrelsen truffet beslutning om den dertil hørende kapitalforhøjelse, således at selskabskapitalen kan forhøjes med op til 141.804 aktier. Selskabets kapitalejere skal ikke have fortegningsret til aktier, som udstedes ved udnyttelse af warrants. De nærmere vilkår for kapitalforhøjelsen fremgår ligeledes af bilag 3.</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8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same time, the board of directors has decided upon the related capital increase, such that the capital of the company can be increased by up to 141,804 shares. The company's shareholders shall not have priority subscription rights to shares issued by the exercise of warrants. The terms for this capital increase are also specified in appendix 3.</w:t>
            </w:r>
          </w:p>
        </w:tc>
      </w:tr>
      <w:tr>
        <w:trPr/>
        <w:tc>
          <w:tcPr>
            <w:tcW w:w="290" w:type="dxa"/>
            <w:tcBorders/>
            <w:vAlign w:val="center"/>
          </w:tcPr>
          <w:p>
            <w:pPr>
              <w:pStyle w:val="TableContents"/>
              <w:bidi w:val="0"/>
              <w:spacing w:before="0" w:after="283"/>
              <w:jc w:val="both"/>
              <w:rPr/>
            </w:pPr>
            <w:r>
              <w:rPr/>
              <w:t> </w:t>
            </w:r>
          </w:p>
        </w:tc>
        <w:tc>
          <w:tcPr>
            <w:tcW w:w="473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846"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pPr>
            <w:r>
              <w:rPr/>
              <w:t> </w:t>
            </w:r>
          </w:p>
        </w:tc>
        <w:tc>
          <w:tcPr>
            <w:tcW w:w="47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Bemyndigelsen i punkt 2.7 er herefter udnyttet fuldt ud.</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846" w:type="dxa"/>
            <w:tcBorders/>
            <w:vAlign w:val="center"/>
          </w:tcPr>
          <w:p>
            <w:pPr>
              <w:pStyle w:val="TableContents"/>
              <w:bidi w:val="0"/>
              <w:spacing w:before="0" w:after="283"/>
              <w:jc w:val="both"/>
              <w:rPr/>
            </w:pPr>
            <w:r>
              <w:rPr>
                <w:rFonts w:ascii="Times New Roman;Times;Serif" w:hAnsi="Times New Roman;Times;Serif"/>
                <w:sz w:val="20"/>
              </w:rPr>
              <w:t xml:space="preserve">Hereafter, the authorization under article </w:t>
            </w:r>
            <w:r>
              <w:rPr>
                <w:rFonts w:ascii="Times New Roman;Times;Serif" w:hAnsi="Times New Roman;Times;Serif"/>
              </w:rPr>
              <w:t>2.7 is exercised in full.</w:t>
            </w:r>
          </w:p>
        </w:tc>
      </w:tr>
      <w:tr>
        <w:trPr/>
        <w:tc>
          <w:tcPr>
            <w:tcW w:w="290" w:type="dxa"/>
            <w:tcBorders/>
            <w:vAlign w:val="center"/>
          </w:tcPr>
          <w:p>
            <w:pPr>
              <w:pStyle w:val="TableContents"/>
              <w:bidi w:val="0"/>
              <w:spacing w:before="0" w:after="283"/>
              <w:jc w:val="both"/>
              <w:rPr/>
            </w:pPr>
            <w:r>
              <w:rPr/>
              <w:t> </w:t>
            </w:r>
          </w:p>
        </w:tc>
        <w:tc>
          <w:tcPr>
            <w:tcW w:w="473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846"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2.8</w:t>
            </w:r>
          </w:p>
        </w:tc>
        <w:tc>
          <w:tcPr>
            <w:tcW w:w="47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Bestyrelsen er i perioden indtil 23. november 2025 bemyndiget til ad én eller flere gange at udstede warrants til investorer i selskabet, som giver ret til tegning af i alt op til nominelt DKK 1.080.000 uden fortegningsret for selskabets aktionærer. Udnyttelseskursen for warrants, der er udstedt i henhold til denne bemyndigelse, skal fastsættes til aktiernes nominelle værdi, pt. DKK 1. Bestyrelsen fastlægger vilkårene for udstedte warrants og fordelingen heraf.</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2.8</w:t>
            </w:r>
          </w:p>
        </w:tc>
        <w:tc>
          <w:tcPr>
            <w:tcW w:w="48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of directors is authorised during the period until 23 November 2025, on or more occasions, to issue warrants to the company's investors entitling the holder to subscribe shares for a total of up to nominal value of DKK 1,080,000 without pre-emptive rights for the company's shareholders. The exercise price for the warrants shall be equal to the nominal value of the company’s shares, currently DKK 1. The board of directors shall determine the terms for the warrants issued and distribution hereof.</w:t>
            </w:r>
          </w:p>
        </w:tc>
      </w:tr>
      <w:tr>
        <w:trPr/>
        <w:tc>
          <w:tcPr>
            <w:tcW w:w="290" w:type="dxa"/>
            <w:tcBorders/>
            <w:vAlign w:val="center"/>
          </w:tcPr>
          <w:p>
            <w:pPr>
              <w:pStyle w:val="TableContents"/>
              <w:bidi w:val="0"/>
              <w:spacing w:before="0" w:after="283"/>
              <w:jc w:val="both"/>
              <w:rPr/>
            </w:pPr>
            <w:r>
              <w:rPr/>
              <w:t> </w:t>
            </w:r>
          </w:p>
        </w:tc>
        <w:tc>
          <w:tcPr>
            <w:tcW w:w="473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846"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pPr>
            <w:r>
              <w:rPr/>
              <w:t> </w:t>
            </w:r>
          </w:p>
        </w:tc>
        <w:tc>
          <w:tcPr>
            <w:tcW w:w="47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Bestyrelsen er samtidig bemyndiget til i perioden indtil 23. november 2025 ad én eller flere gange at forhøje selskabets aktiekapital med op til i alt nominelt DKK 1.080.000 uden fortegningsret for selskabets aktionærer ved kontant indbetaling med henblik på at gennemføre de til udnyttelsen af udstedte warrants tilhørende kapitalforhøjelser. Bestyrelsen kan med hjemmel i denne bemyndigelse minimum forhøje aktiekapitalen med nominelt DKK 1 og maksimalt med nominelt DKK 1.080.000.</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8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same time, the board of directors is authorised in the period until 23 November 2025 on one or more occasions to increase the company's share capital by up to a total nominal value of DKK 1,080,000 without pre-emptive rights for the existing shareholders by cash payment in order to implement the capital increase(s) related to exercise of warrants. In accordance with this clause, the board of directors may increase the share capital with a minimum nominal value of DKK 1 and a maximum nominal value of DKK 1,080,000.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4968"/>
        <w:gridCol w:w="60"/>
        <w:gridCol w:w="425"/>
        <w:gridCol w:w="4312"/>
      </w:tblGrid>
      <w:tr>
        <w:trPr/>
        <w:tc>
          <w:tcPr>
            <w:tcW w:w="440" w:type="dxa"/>
            <w:tcBorders/>
            <w:vAlign w:val="center"/>
          </w:tcPr>
          <w:p>
            <w:pPr>
              <w:pStyle w:val="TableContents"/>
              <w:bidi w:val="0"/>
              <w:spacing w:before="0" w:after="283"/>
              <w:jc w:val="both"/>
              <w:rPr/>
            </w:pPr>
            <w:r>
              <w:rPr/>
              <w:t> </w:t>
            </w:r>
          </w:p>
        </w:tc>
        <w:tc>
          <w:tcPr>
            <w:tcW w:w="4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aktier, som måtte blive tegnet ved udnyttelse af warrants, skal være ikke-omsætningspapirer og skal lyde på navn og noteres på navn i ejerbogen. Aktierne skal ikke være undergivet omsættelighedsbegrænsninger, og ingen aktionær skal være forpligtet til at lade sine aktier indløse helt eller delvist. Aktierne skal i det hele være ligestillet med den bestående aktiekapital og skal ikke tilhøre en særlig aktieklasse. Aktierne giver ret til udbytte og andre rettigheder i selskabet på tidspunktet for registreringen af kapitalforhøjelsen.</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issued based on exercise of warrants shall be non-negotiable instruments issued in the name of the holder and registered in the name of the holder in the company's shareholders' register. The new shares shall not have any restrictions as to their transferability and no shareholder shall be obliged to have the shares redeemed fully or partly. The shares shall be with the same rights as the existing share capital and shall not belong to a special share class. The new shares shall give rights to dividends and other rights in the company as from the date of registration of the capital increase with the Danish Business Authority.</w:t>
            </w:r>
          </w:p>
        </w:tc>
      </w:tr>
      <w:tr>
        <w:trPr/>
        <w:tc>
          <w:tcPr>
            <w:tcW w:w="440" w:type="dxa"/>
            <w:tcBorders/>
            <w:vAlign w:val="center"/>
          </w:tcPr>
          <w:p>
            <w:pPr>
              <w:pStyle w:val="TableContents"/>
              <w:bidi w:val="0"/>
              <w:spacing w:before="0" w:after="283"/>
              <w:jc w:val="both"/>
              <w:rPr/>
            </w:pPr>
            <w:r>
              <w:rPr/>
              <w:t> </w:t>
            </w:r>
          </w:p>
        </w:tc>
        <w:tc>
          <w:tcPr>
            <w:tcW w:w="496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pPr>
            <w:r>
              <w:rPr/>
              <w:t> </w:t>
            </w:r>
          </w:p>
        </w:tc>
        <w:tc>
          <w:tcPr>
            <w:tcW w:w="4312"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2.8.1</w:t>
            </w:r>
          </w:p>
        </w:tc>
        <w:tc>
          <w:tcPr>
            <w:tcW w:w="4968" w:type="dxa"/>
            <w:tcBorders/>
            <w:vAlign w:val="center"/>
          </w:tcPr>
          <w:p>
            <w:pPr>
              <w:pStyle w:val="TableContents"/>
              <w:bidi w:val="0"/>
              <w:spacing w:before="0" w:after="283"/>
              <w:jc w:val="both"/>
              <w:rPr/>
            </w:pPr>
            <w:r>
              <w:rPr>
                <w:rFonts w:ascii="Times New Roman;Times;Serif" w:hAnsi="Times New Roman;Times;Serif"/>
                <w:sz w:val="20"/>
              </w:rPr>
              <w:t xml:space="preserve">I henhold til den i punkt 2.8 indeholdte bemyndigelse fra generalforsamlingen har bestyrelsen den 17. december 2020 tildelt og udstedt 373.127 stk. warrants (justeret ved bestyrelsesbeslutning 3. oktober 2024), hver med ret til at tegne en aktie med pålydende DKK 1,00. Tildelingen af warrants sker vederlagsfrit. Bemyndigelsen i pkt. 2.8 er herefter reduceret til 706.873 stk. warrants (justeret ved bestyrelsesbeslutning 3. oktober 2024), der hver giver ret til tegning af 1 aktie à </w:t>
            </w:r>
            <w:r>
              <w:rPr>
                <w:rFonts w:ascii="Times New Roman;Times;Serif" w:hAnsi="Times New Roman;Times;Serif"/>
              </w:rPr>
              <w:t>nominelt DKK 1,00 i selskabet mod kontantindskud og til at foretage den hertil hørende kapitalforhøjelse med op til nominelt DKK 706.873 (justeret ved bestyrelsesbeslutning 3. oktober 2024). De udstedte warrants udstedes på de i bilag 4 angivne vilkår.</w:t>
            </w:r>
          </w:p>
        </w:tc>
        <w:tc>
          <w:tcPr>
            <w:tcW w:w="6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2.8.1</w:t>
            </w:r>
          </w:p>
        </w:tc>
        <w:tc>
          <w:tcPr>
            <w:tcW w:w="4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authorization from the general meeting set out in clause 2.8 of the articles of association, the board of directors has on 17 December 2020 granted and issued 373,127 warrants (adjusted by decision of the board of directors on 3 October 2024). Each warrant entitles the holder to subscribe for one share in the company with a nominal value of DKK 1.00. The grant of the warrants shall not be subject to payment from the holders. Hereafter the authorization set out in clause 2.8 is reduced to 706,873 warrants (adjusted by decision of the board of directors on 3 October 2024), each of which entitles the holder to subscribe for one share of a nominal DKK 1.00 in the company against cash payment and to make the associated capital increase by up to a nominal DKK 706,873 (adjusted by decision of the board of directors on 3 October 2024). The warrants issued are issued on the terms and conditions set out in appendix 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82"/>
        <w:gridCol w:w="60"/>
        <w:gridCol w:w="60"/>
        <w:gridCol w:w="5128"/>
      </w:tblGrid>
      <w:tr>
        <w:trPr/>
        <w:tc>
          <w:tcPr>
            <w:tcW w:w="75" w:type="dxa"/>
            <w:tcBorders/>
            <w:vAlign w:val="center"/>
          </w:tcPr>
          <w:p>
            <w:pPr>
              <w:pStyle w:val="TableContents"/>
              <w:bidi w:val="0"/>
              <w:spacing w:before="0" w:after="283"/>
              <w:jc w:val="both"/>
              <w:rPr/>
            </w:pPr>
            <w:r>
              <w:rPr/>
              <w:t> </w:t>
            </w:r>
          </w:p>
        </w:tc>
        <w:tc>
          <w:tcPr>
            <w:tcW w:w="4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henvisning til selskabslovens regler, skal følgende vilkår i øvrigt være gældende i forbindelse med udstedelse af ovennævnte warrants og senere forhøjelse af aktiekapitalen ved tegning af de nye aktier ved udnyttelse af disse warrants:</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shall be applicable in connection with the issuance of the above warrants and subsequent increases to the share capital in connection with exercise of warrants and subscription of shares.</w:t>
            </w:r>
          </w:p>
        </w:tc>
      </w:tr>
      <w:tr>
        <w:trPr/>
        <w:tc>
          <w:tcPr>
            <w:tcW w:w="75" w:type="dxa"/>
            <w:tcBorders/>
            <w:vAlign w:val="center"/>
          </w:tcPr>
          <w:p>
            <w:pPr>
              <w:pStyle w:val="TableContents"/>
              <w:bidi w:val="0"/>
              <w:spacing w:before="0" w:after="283"/>
              <w:jc w:val="both"/>
              <w:rPr/>
            </w:pPr>
            <w:r>
              <w:rPr/>
              <w:t> </w:t>
            </w:r>
          </w:p>
        </w:tc>
        <w:tc>
          <w:tcPr>
            <w:tcW w:w="488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1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Det mindste og det højeste beløb, hvormed aktiekapitalen skal kunne forhøjes, udgør henholdsvis nominelt DKK 1 og DKK 373,127 (justeret ved bestyrelsesbeslutning 3. oktober 2024), dog således at reguleringsmekanismerne i vedtægternes </w:t>
            </w:r>
            <w:r>
              <w:rPr>
                <w:rFonts w:ascii="Times New Roman;Times;Serif" w:hAnsi="Times New Roman;Times;Serif"/>
                <w:sz w:val="20"/>
                <w:u w:val="single"/>
              </w:rPr>
              <w:t>bilag 4</w:t>
            </w:r>
            <w:r>
              <w:rPr>
                <w:rFonts w:ascii="Times New Roman;Times;Serif" w:hAnsi="Times New Roman;Times;Serif"/>
                <w:sz w:val="20"/>
              </w:rPr>
              <w:t xml:space="preserve"> kan resultere i et andet beløb.</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minimum and the maximum nominal amount of the capital increase(s) that can be subscribed for on the basis of the warrants is DKK 1 and DKK 373,127 (adjusted by decision of the board of directors on 3 October 2024), respectively, provided, however, that the adjustment mechanisms set out in </w:t>
            </w:r>
            <w:r>
              <w:rPr>
                <w:rFonts w:ascii="Times New Roman;Times;Serif" w:hAnsi="Times New Roman;Times;Serif"/>
                <w:sz w:val="20"/>
                <w:u w:val="single"/>
              </w:rPr>
              <w:t>appendix 4</w:t>
            </w:r>
            <w:r>
              <w:rPr>
                <w:rFonts w:ascii="Times New Roman;Times;Serif" w:hAnsi="Times New Roman;Times;Serif"/>
                <w:sz w:val="20"/>
              </w:rPr>
              <w:t xml:space="preserve"> to the articles of association may result in a different amount.</w:t>
            </w:r>
          </w:p>
        </w:tc>
      </w:tr>
      <w:tr>
        <w:trPr/>
        <w:tc>
          <w:tcPr>
            <w:tcW w:w="75" w:type="dxa"/>
            <w:tcBorders/>
            <w:vAlign w:val="center"/>
          </w:tcPr>
          <w:p>
            <w:pPr>
              <w:pStyle w:val="TableContents"/>
              <w:bidi w:val="0"/>
              <w:spacing w:before="0" w:after="283"/>
              <w:jc w:val="both"/>
              <w:rPr/>
            </w:pPr>
            <w:r>
              <w:rPr/>
              <w:t> </w:t>
            </w:r>
          </w:p>
        </w:tc>
        <w:tc>
          <w:tcPr>
            <w:tcW w:w="488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1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aktier skal tilhøre samme aktieklasse som Selskabets eksisterende aktier.</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shall belong to same class of shares as the existing shares in the Company.</w:t>
            </w:r>
          </w:p>
        </w:tc>
      </w:tr>
      <w:tr>
        <w:trPr/>
        <w:tc>
          <w:tcPr>
            <w:tcW w:w="75" w:type="dxa"/>
            <w:tcBorders/>
            <w:vAlign w:val="center"/>
          </w:tcPr>
          <w:p>
            <w:pPr>
              <w:pStyle w:val="TableContents"/>
              <w:bidi w:val="0"/>
              <w:spacing w:before="0" w:after="283"/>
              <w:jc w:val="both"/>
              <w:rPr/>
            </w:pPr>
            <w:r>
              <w:rPr/>
              <w:t> </w:t>
            </w:r>
          </w:p>
        </w:tc>
        <w:tc>
          <w:tcPr>
            <w:tcW w:w="488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1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Kapitaludvidelsen sker uden fortegningsret for de hidtidige aktionærer, idet tegningen sker på baggrund de af tildelte warrants.</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128" w:type="dxa"/>
            <w:tcBorders/>
            <w:vAlign w:val="center"/>
          </w:tcPr>
          <w:p>
            <w:pPr>
              <w:pStyle w:val="TableContents"/>
              <w:bidi w:val="0"/>
              <w:spacing w:before="0" w:after="283"/>
              <w:jc w:val="both"/>
              <w:rPr/>
            </w:pPr>
            <w:r>
              <w:rPr>
                <w:rFonts w:ascii="Times New Roman;Times;Serif" w:hAnsi="Times New Roman;Times;Serif"/>
                <w:sz w:val="20"/>
              </w:rPr>
              <w:t xml:space="preserve">The capital increase is carried out without pre-emption rights for the existing shareholders as the subscription will be based </w:t>
            </w:r>
            <w:r>
              <w:rPr>
                <w:rFonts w:ascii="Times New Roman;Times;Serif" w:hAnsi="Times New Roman;Times;Serif"/>
              </w:rPr>
              <w:t>on the granted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4745"/>
        <w:gridCol w:w="60"/>
        <w:gridCol w:w="380"/>
        <w:gridCol w:w="4625"/>
      </w:tblGrid>
      <w:tr>
        <w:trPr/>
        <w:tc>
          <w:tcPr>
            <w:tcW w:w="395" w:type="dxa"/>
            <w:tcBorders/>
            <w:vAlign w:val="center"/>
          </w:tcPr>
          <w:p>
            <w:pPr>
              <w:pStyle w:val="TableContents"/>
              <w:bidi w:val="0"/>
              <w:spacing w:before="0" w:after="283"/>
              <w:jc w:val="both"/>
              <w:rPr/>
            </w:pPr>
            <w:r>
              <w:rPr/>
              <w:t> </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fulde beløb til tegning af det antal aktier, som ønskes tegnet på grundlag af warrants, skal indbetales kontant senest samtidig med tegningen af de pågældende aktier.</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entire subscription amount payable for the subscribed shares shall be paid in cash to the Company no later than upon the warrantholder's subscription of said shares.</w:t>
            </w:r>
          </w:p>
        </w:tc>
      </w:tr>
      <w:tr>
        <w:trPr/>
        <w:tc>
          <w:tcPr>
            <w:tcW w:w="395" w:type="dxa"/>
            <w:tcBorders/>
            <w:vAlign w:val="center"/>
          </w:tcPr>
          <w:p>
            <w:pPr>
              <w:pStyle w:val="TableContents"/>
              <w:bidi w:val="0"/>
              <w:spacing w:before="0" w:after="283"/>
              <w:jc w:val="both"/>
              <w:rPr/>
            </w:pPr>
            <w:r>
              <w:rPr/>
              <w:t> </w:t>
            </w:r>
          </w:p>
        </w:tc>
        <w:tc>
          <w:tcPr>
            <w:tcW w:w="47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2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aktier udstedes i aktier a hver nominelt DKK 1,00.</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will be divided into shares of nominal DKK 1.00 each.</w:t>
            </w:r>
          </w:p>
        </w:tc>
      </w:tr>
      <w:tr>
        <w:trPr/>
        <w:tc>
          <w:tcPr>
            <w:tcW w:w="395" w:type="dxa"/>
            <w:tcBorders/>
            <w:vAlign w:val="center"/>
          </w:tcPr>
          <w:p>
            <w:pPr>
              <w:pStyle w:val="TableContents"/>
              <w:bidi w:val="0"/>
              <w:spacing w:before="0" w:after="283"/>
              <w:jc w:val="both"/>
              <w:rPr/>
            </w:pPr>
            <w:r>
              <w:rPr/>
              <w:t> </w:t>
            </w:r>
          </w:p>
        </w:tc>
        <w:tc>
          <w:tcPr>
            <w:tcW w:w="47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2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Kapitaludvidelsen sker til DKK 1 pr. nominelt DKK 1 aktie, dog således at reguleringsmekanismerne i vedtægternes </w:t>
            </w:r>
            <w:r>
              <w:rPr>
                <w:rFonts w:ascii="Times New Roman;Times;Serif" w:hAnsi="Times New Roman;Times;Serif"/>
                <w:sz w:val="20"/>
                <w:u w:val="single"/>
              </w:rPr>
              <w:t>bilag 4</w:t>
            </w:r>
            <w:r>
              <w:rPr>
                <w:rFonts w:ascii="Times New Roman;Times;Serif" w:hAnsi="Times New Roman;Times;Serif"/>
                <w:sz w:val="20"/>
              </w:rPr>
              <w:t> kan resultere i en anden kurs.</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subscription will be made at a subscription rate of DKK 1 per nominal DKK 1 share, provided however that the adjustment mechanisms in </w:t>
            </w:r>
            <w:r>
              <w:rPr>
                <w:rFonts w:ascii="Times New Roman;Times;Serif" w:hAnsi="Times New Roman;Times;Serif"/>
                <w:sz w:val="20"/>
                <w:u w:val="single"/>
              </w:rPr>
              <w:t>appendix 4</w:t>
            </w:r>
            <w:r>
              <w:rPr>
                <w:rFonts w:ascii="Times New Roman;Times;Serif" w:hAnsi="Times New Roman;Times;Serif"/>
                <w:sz w:val="20"/>
              </w:rPr>
              <w:t xml:space="preserve"> to the articles of association may result in a different subscription rate.</w:t>
            </w:r>
          </w:p>
        </w:tc>
      </w:tr>
      <w:tr>
        <w:trPr/>
        <w:tc>
          <w:tcPr>
            <w:tcW w:w="395" w:type="dxa"/>
            <w:tcBorders/>
            <w:vAlign w:val="center"/>
          </w:tcPr>
          <w:p>
            <w:pPr>
              <w:pStyle w:val="TableContents"/>
              <w:bidi w:val="0"/>
              <w:spacing w:before="0" w:after="283"/>
              <w:jc w:val="both"/>
              <w:rPr/>
            </w:pPr>
            <w:r>
              <w:rPr/>
              <w:t> </w:t>
            </w:r>
          </w:p>
        </w:tc>
        <w:tc>
          <w:tcPr>
            <w:tcW w:w="47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2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aktier skal være ikke-omsætningspapirer.</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will not be negotiable instruments.</w:t>
            </w:r>
          </w:p>
        </w:tc>
      </w:tr>
      <w:tr>
        <w:trPr/>
        <w:tc>
          <w:tcPr>
            <w:tcW w:w="395" w:type="dxa"/>
            <w:tcBorders/>
            <w:vAlign w:val="center"/>
          </w:tcPr>
          <w:p>
            <w:pPr>
              <w:pStyle w:val="TableContents"/>
              <w:bidi w:val="0"/>
              <w:spacing w:before="0" w:after="283"/>
              <w:jc w:val="both"/>
              <w:rPr/>
            </w:pPr>
            <w:r>
              <w:rPr/>
              <w:t> </w:t>
            </w:r>
          </w:p>
        </w:tc>
        <w:tc>
          <w:tcPr>
            <w:tcW w:w="47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2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aktier skal lyde på navn og skal noteres i Selskabets ejerbog.</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will be made out in the name of the holder and registered in the Company's register of shareholders.</w:t>
            </w:r>
          </w:p>
        </w:tc>
      </w:tr>
      <w:tr>
        <w:trPr/>
        <w:tc>
          <w:tcPr>
            <w:tcW w:w="395" w:type="dxa"/>
            <w:tcBorders/>
            <w:vAlign w:val="center"/>
          </w:tcPr>
          <w:p>
            <w:pPr>
              <w:pStyle w:val="TableContents"/>
              <w:bidi w:val="0"/>
              <w:spacing w:before="0" w:after="283"/>
              <w:jc w:val="both"/>
              <w:rPr/>
            </w:pPr>
            <w:r>
              <w:rPr/>
              <w:t> </w:t>
            </w:r>
          </w:p>
        </w:tc>
        <w:tc>
          <w:tcPr>
            <w:tcW w:w="47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2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25.000 (ekskl. moms).</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in connection with the capital increase to be borne by the Company are approx. DKK 25,000 (excluding VAT).</w:t>
            </w:r>
          </w:p>
        </w:tc>
      </w:tr>
      <w:tr>
        <w:trPr/>
        <w:tc>
          <w:tcPr>
            <w:tcW w:w="395" w:type="dxa"/>
            <w:tcBorders/>
            <w:vAlign w:val="center"/>
          </w:tcPr>
          <w:p>
            <w:pPr>
              <w:pStyle w:val="TableContents"/>
              <w:bidi w:val="0"/>
              <w:spacing w:before="0" w:after="283"/>
              <w:jc w:val="both"/>
              <w:rPr/>
            </w:pPr>
            <w:r>
              <w:rPr/>
              <w:t> </w:t>
            </w:r>
          </w:p>
        </w:tc>
        <w:tc>
          <w:tcPr>
            <w:tcW w:w="47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2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2.9</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bestyrelsens bemyndigelser i punkt 2.5 er 811.196 warrants udnyttet pr. 3. januar 2024.</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2.9</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According to the board of directors’ authorisations in article 2.5 811,196 warrants have been exercised per 3 January 2024.</w:t>
            </w:r>
          </w:p>
        </w:tc>
      </w:tr>
      <w:tr>
        <w:trPr/>
        <w:tc>
          <w:tcPr>
            <w:tcW w:w="395" w:type="dxa"/>
            <w:tcBorders/>
            <w:vAlign w:val="center"/>
          </w:tcPr>
          <w:p>
            <w:pPr>
              <w:pStyle w:val="TableContents"/>
              <w:bidi w:val="0"/>
              <w:spacing w:before="0" w:after="283"/>
              <w:jc w:val="both"/>
              <w:rPr/>
            </w:pPr>
            <w:r>
              <w:rPr/>
              <w:t> </w:t>
            </w:r>
          </w:p>
        </w:tc>
        <w:tc>
          <w:tcPr>
            <w:tcW w:w="47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2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2.10</w:t>
            </w:r>
          </w:p>
        </w:tc>
        <w:tc>
          <w:tcPr>
            <w:tcW w:w="4745" w:type="dxa"/>
            <w:tcBorders/>
            <w:vAlign w:val="center"/>
          </w:tcPr>
          <w:p>
            <w:pPr>
              <w:pStyle w:val="TableContents"/>
              <w:bidi w:val="0"/>
              <w:spacing w:before="0" w:after="283"/>
              <w:jc w:val="both"/>
              <w:rPr/>
            </w:pPr>
            <w:r>
              <w:rPr>
                <w:rFonts w:ascii="Times New Roman;Times;Serif" w:hAnsi="Times New Roman;Times;Serif"/>
                <w:sz w:val="20"/>
              </w:rPr>
              <w:t xml:space="preserve">Bestyrelsen er i perioden indtil 1. maj 2027 bemyndiget til ad én eller flere gange at udstede warrants til investorer, långivere, konsulenter og/eller rådgivere i selskabet, som giver ret til tegning af i alt op til nominelt DKK 47.000.000 uden fortegningsret for selskabets aktionærer. Udnyttelseskursen for warrants, der er </w:t>
            </w:r>
            <w:r>
              <w:rPr>
                <w:rFonts w:ascii="Times New Roman;Times;Serif" w:hAnsi="Times New Roman;Times;Serif"/>
              </w:rPr>
              <w:t>udstedt i henhold til denne bemyndigelse, skal ved udstedelsen fastsættes af bestyrelsen til mindst markedsprisen. Bestyrelsen fastlægger vilkårene for udstedte warrants og fordelingen heraf.</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2.10</w:t>
            </w:r>
          </w:p>
        </w:tc>
        <w:tc>
          <w:tcPr>
            <w:tcW w:w="4625" w:type="dxa"/>
            <w:tcBorders/>
            <w:vAlign w:val="center"/>
          </w:tcPr>
          <w:p>
            <w:pPr>
              <w:pStyle w:val="TableContents"/>
              <w:bidi w:val="0"/>
              <w:spacing w:before="0" w:after="283"/>
              <w:jc w:val="both"/>
              <w:rPr/>
            </w:pPr>
            <w:r>
              <w:rPr>
                <w:rFonts w:ascii="Times New Roman;Times;Serif" w:hAnsi="Times New Roman;Times;Serif"/>
                <w:sz w:val="20"/>
              </w:rPr>
              <w:t xml:space="preserve">The board of directors is until 1 May 2027 authorized at one or more times to issue warrants to investors, lenders, consultants and/or advisors in the company or its subsidiaries entitling the holder to subscribe for shares for a total of up to nominal value of DKK 47,000,000 without </w:t>
            </w:r>
            <w:r>
              <w:rPr>
                <w:rFonts w:ascii="Times New Roman;Times;Serif" w:hAnsi="Times New Roman;Times;Serif"/>
              </w:rPr>
              <w:t>pre-emptive subscription rights for the company's shareholders. The exercise price for the warrants issued according to this authorization shall at the time of issuance be determined by the board of directors at minimum market price. The board of directors shall determine the terms for the warrants issued and the distribution hereof.</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087"/>
        <w:gridCol w:w="60"/>
        <w:gridCol w:w="60"/>
        <w:gridCol w:w="4923"/>
      </w:tblGrid>
      <w:tr>
        <w:trPr/>
        <w:tc>
          <w:tcPr>
            <w:tcW w:w="75" w:type="dxa"/>
            <w:tcBorders/>
            <w:vAlign w:val="center"/>
          </w:tcPr>
          <w:p>
            <w:pPr>
              <w:pStyle w:val="TableContents"/>
              <w:bidi w:val="0"/>
              <w:spacing w:before="0" w:after="283"/>
              <w:jc w:val="both"/>
              <w:rPr/>
            </w:pPr>
            <w:r>
              <w:rPr/>
              <w:t> </w:t>
            </w:r>
          </w:p>
        </w:tc>
        <w:tc>
          <w:tcPr>
            <w:tcW w:w="5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Denne bemyndigelse til at udstede warrants er den 1. februar 2024 fuldt ud udnyttet med den konsekvens, at bestyrelsen ikke kan udstede yderligere warrants i henhold til dette punkt 2.10 med virkning fra 1. februar 2024. Alle warrants udstedt i henhold til dette punkt 2.10 skal forblive fuldt ud gyldige i overensstemmelse med de af bestyrelsen ved tildeling fastsatte vilkår.</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authorisation to issue warrants is as of 1 February 2024 fully exhausted with the consequence that the board of directors cannot issue any new warrants under article 2.10 with effect from 1 February 2024. For clarity, any warrants issued per this article 2.10 shall remain in full force and effect as per the terms determined by the Board of Directors in connection with such grant of warrants.</w:t>
            </w:r>
          </w:p>
        </w:tc>
      </w:tr>
      <w:tr>
        <w:trPr/>
        <w:tc>
          <w:tcPr>
            <w:tcW w:w="75" w:type="dxa"/>
            <w:tcBorders/>
            <w:vAlign w:val="center"/>
          </w:tcPr>
          <w:p>
            <w:pPr>
              <w:pStyle w:val="TableContents"/>
              <w:bidi w:val="0"/>
              <w:spacing w:before="0" w:after="283"/>
              <w:jc w:val="both"/>
              <w:rPr/>
            </w:pPr>
            <w:r>
              <w:rPr/>
              <w:t> </w:t>
            </w:r>
          </w:p>
        </w:tc>
        <w:tc>
          <w:tcPr>
            <w:tcW w:w="508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087" w:type="dxa"/>
            <w:tcBorders/>
            <w:vAlign w:val="center"/>
          </w:tcPr>
          <w:p>
            <w:pPr>
              <w:pStyle w:val="TableContents"/>
              <w:bidi w:val="0"/>
              <w:spacing w:before="0" w:after="283"/>
              <w:jc w:val="both"/>
              <w:rPr/>
            </w:pPr>
            <w:r>
              <w:rPr>
                <w:rFonts w:ascii="Times New Roman;Times;Serif" w:hAnsi="Times New Roman;Times;Serif"/>
                <w:sz w:val="20"/>
              </w:rPr>
              <w:t xml:space="preserve">Bestyrelsen er samtidig bemyndiget til i perioden indtil 1. maj 2027 ad én eller flere gange at forhøje selskabets aktiekapital med op til i alt nominelt DKK 47.000.000 uden fortegningsret for selskabets aktionærer ved kontant indbetaling med henblik på at gennemføre de til udnyttelsen af udstedte warrants tilhørende kapitalforhøjelser. Bestyrelsen kan med hjemmel i denne bemyndigelse minimum forhøje aktiekapitalen med nominelt DKK 1,00 og maksimalt med nominelt DKK 47,000.000. Bestyrelsen er bemyndiget til at foretage de fornødne vedtægtsændringer i tilfælde af udnyttelse af bemyndigelsen til at forhøje aktiekapitalen og til at foranledige sådanne aktiers deponering hos en depotbank og </w:t>
            </w:r>
            <w:r>
              <w:rPr>
                <w:rFonts w:ascii="Times New Roman;Times;Serif" w:hAnsi="Times New Roman;Times;Serif"/>
              </w:rPr>
              <w:t>samtidig udstedelse af American Depositary Shares.</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23" w:type="dxa"/>
            <w:tcBorders/>
            <w:vAlign w:val="center"/>
          </w:tcPr>
          <w:p>
            <w:pPr>
              <w:pStyle w:val="TableContents"/>
              <w:bidi w:val="0"/>
              <w:spacing w:before="0" w:after="283"/>
              <w:jc w:val="both"/>
              <w:rPr/>
            </w:pPr>
            <w:r>
              <w:rPr>
                <w:rFonts w:ascii="Times New Roman;Times;Serif" w:hAnsi="Times New Roman;Times;Serif"/>
                <w:sz w:val="20"/>
              </w:rPr>
              <w:t xml:space="preserve">At the same time, the board of directors is authorized until 1 May 2027 at one or more times to increase the company's share capital with up to nominal value of DKK 47,000,000 without pre-emptive rights for the company's shareholders by cash payment in order to implement the capital increase related to exercise of warrants. In accordance with this clause the board of directors may increase share capital with a minimum nominal value of DKK 1.00 and a maximum nominal value of DKK 47,000,000. The board of directors is authorized to make the required amendments to the Articles of Association if the authorization to increase the share capital is used and to cause such shares to be deposited with a depositary </w:t>
            </w:r>
            <w:r>
              <w:rPr>
                <w:rFonts w:ascii="Times New Roman;Times;Serif" w:hAnsi="Times New Roman;Times;Serif"/>
              </w:rPr>
              <w:t>bank and the simultaneous issuance of American Depositary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
        <w:gridCol w:w="4708"/>
        <w:gridCol w:w="60"/>
        <w:gridCol w:w="530"/>
        <w:gridCol w:w="4362"/>
      </w:tblGrid>
      <w:tr>
        <w:trPr/>
        <w:tc>
          <w:tcPr>
            <w:tcW w:w="545" w:type="dxa"/>
            <w:tcBorders/>
            <w:vAlign w:val="center"/>
          </w:tcPr>
          <w:p>
            <w:pPr>
              <w:pStyle w:val="TableContents"/>
              <w:bidi w:val="0"/>
              <w:spacing w:before="0" w:after="283"/>
              <w:jc w:val="both"/>
              <w:rPr/>
            </w:pPr>
            <w:r>
              <w:rPr/>
              <w:t> </w:t>
            </w:r>
          </w:p>
        </w:tc>
        <w:tc>
          <w:tcPr>
            <w:tcW w:w="47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aktier, som måtte blive tegnet ved udnyttelse af warrants, skal være ikke-omsætningspapirer og skal lyde på navn og noteres på navn i selskabets ejerbog. Aktierne skal være underlagt samme indskrænkninger i aktiernes omsættelighed, som er gældende for selskabets øvrige aktier, og ingen aktionær skal være forpligtet til at lade sine aktier indløse helt eller delvist. Ingen delvis indbetaling er tilladt. Aktierne skal i det hele være ligestillet med den bestående aktiekapital og skal ikke tilhøre en særlig aktieklasse. Aktierne giver ret til udbytte og andre rettigheder i selskabet på tidspunktet for registreringen af kapitalforhøjelsen i Erhvervsstyrelsen.</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3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issued based on exercise of warrants shall be non-negotiable instruments issued in the name of the holder and registered in the name of the holder in the company's register of shareholders. The shares shall be subject to the same restrictions on transferability as the existing shares of the company and no shareholder shall be obliged to have the shares redeemed fully or partly. No partial payment is allowed. The shares shall be with the same rights as the existing share capital and shall not belong to a specific share class. The shares shall give rights to dividends and other rights in the company from the time of registration of the capital increase with the Danish Business Authority.</w:t>
            </w:r>
          </w:p>
        </w:tc>
      </w:tr>
      <w:tr>
        <w:trPr/>
        <w:tc>
          <w:tcPr>
            <w:tcW w:w="545" w:type="dxa"/>
            <w:tcBorders/>
            <w:vAlign w:val="center"/>
          </w:tcPr>
          <w:p>
            <w:pPr>
              <w:pStyle w:val="TableContents"/>
              <w:bidi w:val="0"/>
              <w:spacing w:before="0" w:after="283"/>
              <w:jc w:val="both"/>
              <w:rPr/>
            </w:pPr>
            <w:r>
              <w:rPr/>
              <w:t> </w:t>
            </w:r>
          </w:p>
        </w:tc>
        <w:tc>
          <w:tcPr>
            <w:tcW w:w="470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362"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2.10.1</w:t>
            </w:r>
          </w:p>
        </w:tc>
        <w:tc>
          <w:tcPr>
            <w:tcW w:w="47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bemyndigelse fra generalforsamlingen i vedtægternes punkt 2.10 har bestyrelsen den 19. september 2023 tildelt og udstedt i alt 150.000 warrants og truffet beslutning om den til disse warrants hørende forhøjelse af selskabets aktiekapital. Warrants udstedes i øvrigt på de i bilag 5 angivne vilkår dog således at 37.500 warrants optjenes den 20. november 2023, 37.500 warrants optjenes den 20. februar 2024, 37.500 warrants optjenes den 20. maj 2024 og 37.500 warrants optjenes den 20. august 2024. De tildelte og optjente warrants kan udnyttes til og med 19. september 2026. Bemyndigelsen i pkt. 2.10 er herefter nedsat til nominelt DKK 29.850.000.</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2.10.1</w:t>
            </w:r>
          </w:p>
        </w:tc>
        <w:tc>
          <w:tcPr>
            <w:tcW w:w="4362" w:type="dxa"/>
            <w:tcBorders/>
            <w:vAlign w:val="center"/>
          </w:tcPr>
          <w:p>
            <w:pPr>
              <w:pStyle w:val="TableContents"/>
              <w:bidi w:val="0"/>
              <w:spacing w:before="0" w:after="283"/>
              <w:jc w:val="both"/>
              <w:rPr/>
            </w:pPr>
            <w:r>
              <w:rPr>
                <w:rFonts w:ascii="Times New Roman;Times;Serif" w:hAnsi="Times New Roman;Times;Serif"/>
                <w:sz w:val="20"/>
              </w:rPr>
              <w:t xml:space="preserve">Pursuant to the authorization from the general meeting set out in article 2.10 of the articles of association the board of directors has 19 September 2023 granted and issued 150,000 and resolved to carry out the increase of the company's share capital relating to the warrants. The warrants are issued on the terms and conditions set out in appendix 5 provided, however, that 37,500 warrants vest on 20 November 2023, that 37,500 warrants vest on 20 February 2024, that 37,500 warrants vest on 20 May 2024 and 37,500 Warrants vest on 20 August 2024. The warrants granted and vested may be exercised until and including 19 September 2026. The authorization in article </w:t>
            </w:r>
            <w:r>
              <w:rPr>
                <w:rFonts w:ascii="Times New Roman;Times;Serif" w:hAnsi="Times New Roman;Times;Serif"/>
              </w:rPr>
              <w:t>2.10 is hereafter reduced to 29,850,000.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
        <w:gridCol w:w="5410"/>
        <w:gridCol w:w="60"/>
        <w:gridCol w:w="80"/>
        <w:gridCol w:w="4560"/>
      </w:tblGrid>
      <w:tr>
        <w:trPr/>
        <w:tc>
          <w:tcPr>
            <w:tcW w:w="95" w:type="dxa"/>
            <w:tcBorders/>
            <w:vAlign w:val="center"/>
          </w:tcPr>
          <w:p>
            <w:pPr>
              <w:pStyle w:val="TableContents"/>
              <w:bidi w:val="0"/>
              <w:spacing w:before="0" w:after="283"/>
              <w:jc w:val="both"/>
              <w:rPr/>
            </w:pPr>
            <w:r>
              <w:rPr/>
              <w:t> </w:t>
            </w:r>
          </w:p>
        </w:tc>
        <w:tc>
          <w:tcPr>
            <w:tcW w:w="5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Hver warrant giver ret til tegning af én ordinær aktie á nominelt DKK 1,00 i selskabet til en tegningspris på USD 1,50 omregnet til DKK til den officielle vekselkurs mellem DKK/USD som er gældende på udnyttelsesdagen, dog minimum DKK 1 pr. aktie à nominelt kr. 1, dog således at reguleringsmekanismerne i punkt 6 i vedtægternes bilag 5 kan resultere i et andet antal aktier og/eller en anden tegningskurs.</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warrant confers the right to subscribe for one ordinary share of nominal DKK 1.00 in the company at a subscription price of USD 1.50 converted into DKK using the official exchange rate between DKK and USD on the exercise day, provided, however, that the adjustment mechanisms in clause 6 of appendix 5 to the articles of association may result in a different number of shares and/or a different subscription price.</w:t>
            </w:r>
          </w:p>
        </w:tc>
      </w:tr>
      <w:tr>
        <w:trPr/>
        <w:tc>
          <w:tcPr>
            <w:tcW w:w="95" w:type="dxa"/>
            <w:tcBorders/>
            <w:vAlign w:val="center"/>
          </w:tcPr>
          <w:p>
            <w:pPr>
              <w:pStyle w:val="TableContents"/>
              <w:bidi w:val="0"/>
              <w:spacing w:before="0" w:after="283"/>
              <w:jc w:val="both"/>
              <w:rPr/>
            </w:pPr>
            <w:r>
              <w:rPr/>
              <w:t> </w:t>
            </w:r>
          </w:p>
        </w:tc>
        <w:tc>
          <w:tcPr>
            <w:tcW w:w="54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560"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pPr>
            <w:r>
              <w:rPr/>
              <w:t> </w:t>
            </w:r>
          </w:p>
        </w:tc>
        <w:tc>
          <w:tcPr>
            <w:tcW w:w="5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warrants and subsequent subscription of shares by exercise of the warrants:</w:t>
            </w:r>
          </w:p>
        </w:tc>
      </w:tr>
      <w:tr>
        <w:trPr/>
        <w:tc>
          <w:tcPr>
            <w:tcW w:w="95" w:type="dxa"/>
            <w:tcBorders/>
            <w:vAlign w:val="center"/>
          </w:tcPr>
          <w:p>
            <w:pPr>
              <w:pStyle w:val="TableContents"/>
              <w:bidi w:val="0"/>
              <w:spacing w:before="0" w:after="283"/>
              <w:jc w:val="both"/>
              <w:rPr/>
            </w:pPr>
            <w:r>
              <w:rPr/>
              <w:t> </w:t>
            </w:r>
          </w:p>
        </w:tc>
        <w:tc>
          <w:tcPr>
            <w:tcW w:w="54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560"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mindste og det højeste beløb, hvormed aktiekapitalen skal kunne forhøjes på baggrund af de udstedte warrants, udgør henholdsvis nominelt DKK 1 og DKK 150.000, dog således at reguleringsmekanismerne i punkt 6 i vedtægternes bilag 5 kan resultere i et andet beløb.</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minimum and the maximum nominal amount of the capital increase(s) that can be subscribed for on the basis of the warrants is DKK 1 and DKK 150,000, respectively, provided, however, that the adjustment mechanisms in clause 6 of appendix 5 to the articles of association may result in a different amount.</w:t>
            </w:r>
          </w:p>
        </w:tc>
      </w:tr>
      <w:tr>
        <w:trPr/>
        <w:tc>
          <w:tcPr>
            <w:tcW w:w="95" w:type="dxa"/>
            <w:tcBorders/>
            <w:vAlign w:val="center"/>
          </w:tcPr>
          <w:p>
            <w:pPr>
              <w:pStyle w:val="TableContents"/>
              <w:bidi w:val="0"/>
              <w:spacing w:before="0" w:after="283"/>
              <w:jc w:val="both"/>
              <w:rPr/>
            </w:pPr>
            <w:r>
              <w:rPr/>
              <w:t> </w:t>
            </w:r>
          </w:p>
        </w:tc>
        <w:tc>
          <w:tcPr>
            <w:tcW w:w="54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560"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Tegningskursen for kapitalforhøjelsen er fastsat til USD 1,50 pr. aktie á nominelt DKK 1 omregnet til DKK til den officielle vekselkurs mellem DKK/USD som er gældende på udnyttelsesdagen, dog minimum DKK 1 pr. aktie à nominelt kr. 1, dog således at reguleringsmekanismerne i punkt 6 i vedtægternes bilag 5 kan resultere i en anden kurs.</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subscription will be made at a subscription price of USD 1.50 per share of nominal DKK 1.00 converted into DKK using the official exchange rate between DKK and USD on the exercise day, provided however that the adjustment mechanisms in clause 6 of appendix 5 to the articles of association may result in a different subscription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
        <w:gridCol w:w="4944"/>
        <w:gridCol w:w="60"/>
        <w:gridCol w:w="530"/>
        <w:gridCol w:w="4126"/>
      </w:tblGrid>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10.000 (ekskl. moms).</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1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in connection with the capital increase to be borne by the company are approx. DKK 10,000 (excluding VAT).</w:t>
            </w:r>
          </w:p>
        </w:tc>
      </w:tr>
      <w:tr>
        <w:trPr/>
        <w:tc>
          <w:tcPr>
            <w:tcW w:w="545" w:type="dxa"/>
            <w:tcBorders/>
            <w:vAlign w:val="center"/>
          </w:tcPr>
          <w:p>
            <w:pPr>
              <w:pStyle w:val="TableContents"/>
              <w:bidi w:val="0"/>
              <w:spacing w:before="0" w:after="283"/>
              <w:jc w:val="both"/>
              <w:rPr/>
            </w:pPr>
            <w:r>
              <w:rPr/>
              <w:t> </w:t>
            </w:r>
          </w:p>
        </w:tc>
        <w:tc>
          <w:tcPr>
            <w:tcW w:w="494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126"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Øvrige vilkår for de udstedte warrants og den senere tegning af aktier ved udnyttelse af disse warrants fremgår af vedtægternes bilag 5.</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1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terms and conditions applicable to the granted warrants and subsequent subscription of shares by exercise of the warrants are set forth in appendix 5 to the articles of association.</w:t>
            </w:r>
          </w:p>
        </w:tc>
      </w:tr>
      <w:tr>
        <w:trPr/>
        <w:tc>
          <w:tcPr>
            <w:tcW w:w="545" w:type="dxa"/>
            <w:tcBorders/>
            <w:vAlign w:val="center"/>
          </w:tcPr>
          <w:p>
            <w:pPr>
              <w:pStyle w:val="TableContents"/>
              <w:bidi w:val="0"/>
              <w:spacing w:before="0" w:after="283"/>
              <w:jc w:val="both"/>
              <w:rPr/>
            </w:pPr>
            <w:r>
              <w:rPr/>
              <w:t> </w:t>
            </w:r>
          </w:p>
        </w:tc>
        <w:tc>
          <w:tcPr>
            <w:tcW w:w="494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126"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2.10.2</w:t>
            </w:r>
          </w:p>
        </w:tc>
        <w:tc>
          <w:tcPr>
            <w:tcW w:w="4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bemyndigelse fra generalforsamlingen i vedtægternes punkt 2.10 har bestyrelsen den 6. december 2023 tildelt og udstedt i alt 9.726.898 warrants og truffet beslutning om den til disse warrants hørende forhøjelse af selskabets aktiekapital. Warrants udstedes i øvrigt på de i bilag 6 angivne vilkår. Bemyndigelsen i pkt. 2.10 er herefter nedsat til nominelt DKK 20.123.102. Ved generalforsamlingsbeslutning den 11. januar 2024 er bemyndigelsen forhøjet til nominelt DKK 47.000.000.</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2.10.2</w:t>
            </w:r>
          </w:p>
        </w:tc>
        <w:tc>
          <w:tcPr>
            <w:tcW w:w="41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authorization from the general meeting set out in article 2.10 of the articles of association the board of directors has 6 December 2023 granted and issued 9,726,898 and resolved to carry out the increase of the company's share capital relating to the warrants. The warrants are issued on the terms and conditions set out in appendix 6. The authorization in article 2.10 is hereafter reduced to 20,123,102. By resolution of the general meeting on 11 January 2024 the authorization has been increased to nominal DKK 47,000,000.</w:t>
            </w:r>
          </w:p>
        </w:tc>
      </w:tr>
      <w:tr>
        <w:trPr/>
        <w:tc>
          <w:tcPr>
            <w:tcW w:w="545" w:type="dxa"/>
            <w:tcBorders/>
            <w:vAlign w:val="center"/>
          </w:tcPr>
          <w:p>
            <w:pPr>
              <w:pStyle w:val="TableContents"/>
              <w:bidi w:val="0"/>
              <w:spacing w:before="0" w:after="283"/>
              <w:jc w:val="both"/>
              <w:rPr/>
            </w:pPr>
            <w:r>
              <w:rPr/>
              <w:t> </w:t>
            </w:r>
          </w:p>
        </w:tc>
        <w:tc>
          <w:tcPr>
            <w:tcW w:w="494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126"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Hver warrant giver ret til tegning af én ordinær aktie á nominelt DKK 1,00 i selskabet til en tegningspris på DKK 4,799 (tegningspris i vedtægterne konverteret fra USD til DKK i henhold til bestyrelsesbeslutning af 25. oktober 2024).</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1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warrant confers the right to subscribe for one ordinary share of nominal DKK 1.00 in the company at a subscription price of DKK 4.799 (subscription price in the articles of association converted from USD to DKK pursuant to board resolution dated 25 October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
        <w:gridCol w:w="4592"/>
        <w:gridCol w:w="60"/>
        <w:gridCol w:w="530"/>
        <w:gridCol w:w="4478"/>
      </w:tblGrid>
      <w:tr>
        <w:trPr/>
        <w:tc>
          <w:tcPr>
            <w:tcW w:w="545" w:type="dxa"/>
            <w:tcBorders/>
            <w:vAlign w:val="center"/>
          </w:tcPr>
          <w:p>
            <w:pPr>
              <w:pStyle w:val="TableContents"/>
              <w:bidi w:val="0"/>
              <w:spacing w:before="0" w:after="283"/>
              <w:jc w:val="both"/>
              <w:rPr/>
            </w:pPr>
            <w:r>
              <w:rPr/>
              <w:t> </w:t>
            </w:r>
          </w:p>
        </w:tc>
        <w:tc>
          <w:tcPr>
            <w:tcW w:w="45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4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warrants and subsequent subscription of shares by exercise of the warrants:</w:t>
            </w:r>
          </w:p>
        </w:tc>
      </w:tr>
      <w:tr>
        <w:trPr/>
        <w:tc>
          <w:tcPr>
            <w:tcW w:w="545" w:type="dxa"/>
            <w:tcBorders/>
            <w:vAlign w:val="center"/>
          </w:tcPr>
          <w:p>
            <w:pPr>
              <w:pStyle w:val="TableContents"/>
              <w:bidi w:val="0"/>
              <w:spacing w:before="0" w:after="283"/>
              <w:jc w:val="both"/>
              <w:rPr/>
            </w:pPr>
            <w:r>
              <w:rPr/>
              <w:t> </w:t>
            </w:r>
          </w:p>
        </w:tc>
        <w:tc>
          <w:tcPr>
            <w:tcW w:w="459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478"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mindste og det højeste beløb, hvormed aktiekapitalen skal kunne forhøjes på baggrund af de udstedte warrants, udgør henholdsvis nominelt DKK 1 og DKK 9.726.898.</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4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minimum and the maximum nominal amount of the capital increase(s) that can be subscribed for on the basis of the warrants is DKK 1 and DKK 9,726,898, respectively.</w:t>
            </w:r>
          </w:p>
        </w:tc>
      </w:tr>
      <w:tr>
        <w:trPr/>
        <w:tc>
          <w:tcPr>
            <w:tcW w:w="545" w:type="dxa"/>
            <w:tcBorders/>
            <w:vAlign w:val="center"/>
          </w:tcPr>
          <w:p>
            <w:pPr>
              <w:pStyle w:val="TableContents"/>
              <w:bidi w:val="0"/>
              <w:spacing w:before="0" w:after="283"/>
              <w:jc w:val="both"/>
              <w:rPr/>
            </w:pPr>
            <w:r>
              <w:rPr/>
              <w:t> </w:t>
            </w:r>
          </w:p>
        </w:tc>
        <w:tc>
          <w:tcPr>
            <w:tcW w:w="459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478"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Tegningskursen for kapitalforhøjelsen er fastsat til DKK 4,799 (tegningskurs i vedtægterne konverteret fra USD til DKK i henhold til bestyrelsesbeslutning af 25. oktober 2024), pr. aktie á nominelt DKK 1.</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4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subscription will be made at a subscription price of DKK 4.799 (subscription price in the articles of association converted from USD to DKK pursuant to board resolution dated 25 October 2024) per share of nominal DKK 1.00.</w:t>
            </w:r>
          </w:p>
        </w:tc>
      </w:tr>
      <w:tr>
        <w:trPr/>
        <w:tc>
          <w:tcPr>
            <w:tcW w:w="545" w:type="dxa"/>
            <w:tcBorders/>
            <w:vAlign w:val="center"/>
          </w:tcPr>
          <w:p>
            <w:pPr>
              <w:pStyle w:val="TableContents"/>
              <w:bidi w:val="0"/>
              <w:spacing w:before="0" w:after="283"/>
              <w:jc w:val="both"/>
              <w:rPr/>
            </w:pPr>
            <w:r>
              <w:rPr/>
              <w:t> </w:t>
            </w:r>
          </w:p>
        </w:tc>
        <w:tc>
          <w:tcPr>
            <w:tcW w:w="459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478"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10.000 (ekskl. moms).</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4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in connection with the capital increase to be borne by the company are approx. DKK 10,000 (excluding VAT).</w:t>
            </w:r>
          </w:p>
        </w:tc>
      </w:tr>
      <w:tr>
        <w:trPr/>
        <w:tc>
          <w:tcPr>
            <w:tcW w:w="545" w:type="dxa"/>
            <w:tcBorders/>
            <w:vAlign w:val="center"/>
          </w:tcPr>
          <w:p>
            <w:pPr>
              <w:pStyle w:val="TableContents"/>
              <w:bidi w:val="0"/>
              <w:spacing w:before="0" w:after="283"/>
              <w:jc w:val="both"/>
              <w:rPr/>
            </w:pPr>
            <w:r>
              <w:rPr/>
              <w:t> </w:t>
            </w:r>
          </w:p>
        </w:tc>
        <w:tc>
          <w:tcPr>
            <w:tcW w:w="459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478"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5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Øvrige vilkår for de udstedte warrants og den senere tegning af aktier ved udnyttelse af disse warrants fremgår af vedtægternes bilag 6.</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4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terms and conditions applicable to the granted warrants and subsequent subscription of shares by exercise of the warrants are set forth in appendix 6 to the articles of association.</w:t>
            </w:r>
          </w:p>
        </w:tc>
      </w:tr>
      <w:tr>
        <w:trPr/>
        <w:tc>
          <w:tcPr>
            <w:tcW w:w="545" w:type="dxa"/>
            <w:tcBorders/>
            <w:vAlign w:val="center"/>
          </w:tcPr>
          <w:p>
            <w:pPr>
              <w:pStyle w:val="TableContents"/>
              <w:bidi w:val="0"/>
              <w:spacing w:before="0" w:after="283"/>
              <w:jc w:val="both"/>
              <w:rPr/>
            </w:pPr>
            <w:r>
              <w:rPr/>
              <w:t> </w:t>
            </w:r>
          </w:p>
        </w:tc>
        <w:tc>
          <w:tcPr>
            <w:tcW w:w="459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478"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2.10.3</w:t>
            </w:r>
          </w:p>
        </w:tc>
        <w:tc>
          <w:tcPr>
            <w:tcW w:w="45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bemyndigelse fra generalforsamlingen i vedtægternes punkt 2.10 har bestyrelsen mod betaling den 1. februar 2024 tildelt og udstedt i alt 29.925.000 prefunded warrants (justeret ved bestyrelsesbeslutning 24. oktober 2024), som giver ret til at tegne op til nominelt kr. 29.925.000 aktier og truffet beslutning om den til disse prefunded warrants hørende forhøjelse af selskabets aktiekapital. Prefunded warrants udstedes i øvrigt på de i bilag 7 angivne vilkår. Bemyndigelsen i pkt. 2.10 er herefter nedsat til nominelt DKK 39.375.000.</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2.10.3</w:t>
            </w:r>
          </w:p>
        </w:tc>
        <w:tc>
          <w:tcPr>
            <w:tcW w:w="44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authorization from the general meeting set out in article 2.10 of the articles of association the board of directors has 1 February 2024 against payment granted and issued 29,925,000 prefunded warrants which confer the right to subscribe for up to nominal DKK 29,925,000 shares (adjusted by decision of the board of directors on 24 October 2024) and resolved to carry out the increase of the company's share capital relating to the prefunded warrants. The prefunded warrants are issued on the terms and conditions set out in appendix 7. The authorization in article 2.10 is hereafter reduced to 39,375,000.</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5"/>
        <w:gridCol w:w="4403"/>
        <w:gridCol w:w="60"/>
        <w:gridCol w:w="680"/>
        <w:gridCol w:w="4367"/>
      </w:tblGrid>
      <w:tr>
        <w:trPr/>
        <w:tc>
          <w:tcPr>
            <w:tcW w:w="695" w:type="dxa"/>
            <w:tcBorders/>
            <w:vAlign w:val="center"/>
          </w:tcPr>
          <w:p>
            <w:pPr>
              <w:pStyle w:val="TableContents"/>
              <w:bidi w:val="0"/>
              <w:spacing w:before="0" w:after="283"/>
              <w:jc w:val="both"/>
              <w:rPr/>
            </w:pPr>
            <w:r>
              <w:rPr/>
              <w:t> </w:t>
            </w:r>
          </w:p>
        </w:tc>
        <w:tc>
          <w:tcPr>
            <w:tcW w:w="4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henvisning til selskabslovens regler skal følgende vilkår være gældende i forbindelse med udstedelse af ovennævnte prefunded warrants og senere tegning af aktier ved udnyttelse af disse prefunded warrants:</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pPr>
            <w:r>
              <w:rPr/>
              <w:t> </w:t>
            </w:r>
          </w:p>
        </w:tc>
        <w:tc>
          <w:tcPr>
            <w:tcW w:w="43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prefunded warrants and subsequent subscription of shares by exercise of the prefunded warrants:</w:t>
            </w:r>
          </w:p>
        </w:tc>
      </w:tr>
      <w:tr>
        <w:trPr/>
        <w:tc>
          <w:tcPr>
            <w:tcW w:w="695" w:type="dxa"/>
            <w:tcBorders/>
            <w:vAlign w:val="center"/>
          </w:tcPr>
          <w:p>
            <w:pPr>
              <w:pStyle w:val="TableContents"/>
              <w:bidi w:val="0"/>
              <w:spacing w:before="0" w:after="283"/>
              <w:jc w:val="both"/>
              <w:rPr/>
            </w:pPr>
            <w:r>
              <w:rPr/>
              <w:t> </w:t>
            </w:r>
          </w:p>
        </w:tc>
        <w:tc>
          <w:tcPr>
            <w:tcW w:w="440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pPr>
            <w:r>
              <w:rPr/>
              <w:t> </w:t>
            </w:r>
          </w:p>
        </w:tc>
        <w:tc>
          <w:tcPr>
            <w:tcW w:w="4367"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mindste og det højeste beløb, hvormed aktiekapitalen skal kunne forhøjes på baggrund af de udstedte prefunded warrants, udgør henholdsvis nominelt DKK 1 og DKK 29.925.000 (justeret ved bestyrelsesbeslutning 24. oktober 2024).</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3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minimum and the maximum nominal amount of the capital increase(s) that can be subscribed for on the basis of the prefunded warrants is DKK 1 and DKK 29,925,000 adjusted by decision of the board of directors on 24 October 2024), respectively.</w:t>
            </w:r>
          </w:p>
        </w:tc>
      </w:tr>
      <w:tr>
        <w:trPr/>
        <w:tc>
          <w:tcPr>
            <w:tcW w:w="695" w:type="dxa"/>
            <w:tcBorders/>
            <w:vAlign w:val="center"/>
          </w:tcPr>
          <w:p>
            <w:pPr>
              <w:pStyle w:val="TableContents"/>
              <w:bidi w:val="0"/>
              <w:spacing w:before="0" w:after="283"/>
              <w:jc w:val="both"/>
              <w:rPr/>
            </w:pPr>
            <w:r>
              <w:rPr/>
              <w:t> </w:t>
            </w:r>
          </w:p>
        </w:tc>
        <w:tc>
          <w:tcPr>
            <w:tcW w:w="440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pPr>
            <w:r>
              <w:rPr/>
              <w:t> </w:t>
            </w:r>
          </w:p>
        </w:tc>
        <w:tc>
          <w:tcPr>
            <w:tcW w:w="4367"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Tegningskursen for kapitalforhøjelsen er fastsat til DKK 1 pr. aktie á nominelt DKK 1.</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3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subscription will be made at a subscription price of DKK 1 per share of nominal DKK 1.00.</w:t>
            </w:r>
          </w:p>
        </w:tc>
      </w:tr>
      <w:tr>
        <w:trPr/>
        <w:tc>
          <w:tcPr>
            <w:tcW w:w="695" w:type="dxa"/>
            <w:tcBorders/>
            <w:vAlign w:val="center"/>
          </w:tcPr>
          <w:p>
            <w:pPr>
              <w:pStyle w:val="TableContents"/>
              <w:bidi w:val="0"/>
              <w:spacing w:before="0" w:after="283"/>
              <w:jc w:val="both"/>
              <w:rPr/>
            </w:pPr>
            <w:r>
              <w:rPr/>
              <w:t> </w:t>
            </w:r>
          </w:p>
        </w:tc>
        <w:tc>
          <w:tcPr>
            <w:tcW w:w="440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pPr>
            <w:r>
              <w:rPr/>
              <w:t> </w:t>
            </w:r>
          </w:p>
        </w:tc>
        <w:tc>
          <w:tcPr>
            <w:tcW w:w="4367"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10.000 (ekskl. moms).</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3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in connection with the capital increase to be borne by the company are approx. DKK 10,000 (excluding VAT).</w:t>
            </w:r>
          </w:p>
        </w:tc>
      </w:tr>
      <w:tr>
        <w:trPr/>
        <w:tc>
          <w:tcPr>
            <w:tcW w:w="695" w:type="dxa"/>
            <w:tcBorders/>
            <w:vAlign w:val="center"/>
          </w:tcPr>
          <w:p>
            <w:pPr>
              <w:pStyle w:val="TableContents"/>
              <w:bidi w:val="0"/>
              <w:spacing w:before="0" w:after="283"/>
              <w:jc w:val="both"/>
              <w:rPr/>
            </w:pPr>
            <w:r>
              <w:rPr/>
              <w:t> </w:t>
            </w:r>
          </w:p>
        </w:tc>
        <w:tc>
          <w:tcPr>
            <w:tcW w:w="440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pPr>
            <w:r>
              <w:rPr/>
              <w:t> </w:t>
            </w:r>
          </w:p>
        </w:tc>
        <w:tc>
          <w:tcPr>
            <w:tcW w:w="4367"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both"/>
              <w:rPr/>
            </w:pPr>
            <w:r>
              <w:rPr/>
              <w:t> </w:t>
            </w:r>
          </w:p>
        </w:tc>
        <w:tc>
          <w:tcPr>
            <w:tcW w:w="4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Øvrige vilkår for de udstedte prefunded warrants og den senere tegning af aktier ved udnyttelse af disse prefunded warrants fremgår af vedtægternes bilag 7.</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pPr>
            <w:r>
              <w:rPr/>
              <w:t> </w:t>
            </w:r>
          </w:p>
        </w:tc>
        <w:tc>
          <w:tcPr>
            <w:tcW w:w="43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terms and conditions applicable to the granted prefunded warrants and subsequent subscription of shares by exercise of the prefunded warrants are set forth in appendix 7 to the articles of association</w:t>
            </w:r>
          </w:p>
        </w:tc>
      </w:tr>
      <w:tr>
        <w:trPr/>
        <w:tc>
          <w:tcPr>
            <w:tcW w:w="695" w:type="dxa"/>
            <w:tcBorders/>
            <w:vAlign w:val="center"/>
          </w:tcPr>
          <w:p>
            <w:pPr>
              <w:pStyle w:val="TableContents"/>
              <w:bidi w:val="0"/>
              <w:spacing w:before="0" w:after="283"/>
              <w:jc w:val="both"/>
              <w:rPr/>
            </w:pPr>
            <w:r>
              <w:rPr/>
              <w:t> </w:t>
            </w:r>
          </w:p>
        </w:tc>
        <w:tc>
          <w:tcPr>
            <w:tcW w:w="440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pPr>
            <w:r>
              <w:rPr/>
              <w:t> </w:t>
            </w:r>
          </w:p>
        </w:tc>
        <w:tc>
          <w:tcPr>
            <w:tcW w:w="4367"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2.10.3.1</w:t>
            </w:r>
          </w:p>
        </w:tc>
        <w:tc>
          <w:tcPr>
            <w:tcW w:w="4403" w:type="dxa"/>
            <w:tcBorders/>
            <w:vAlign w:val="center"/>
          </w:tcPr>
          <w:p>
            <w:pPr>
              <w:pStyle w:val="TableContents"/>
              <w:bidi w:val="0"/>
              <w:spacing w:before="0" w:after="283"/>
              <w:jc w:val="both"/>
              <w:rPr/>
            </w:pPr>
            <w:r>
              <w:rPr/>
              <w:t> </w:t>
            </w:r>
            <w:r>
              <w:rPr>
                <w:rFonts w:ascii="Times New Roman;Times;Serif" w:hAnsi="Times New Roman;Times;Serif"/>
                <w:sz w:val="20"/>
              </w:rPr>
              <w:t>I henhold til bestyrelsens tildeling og udstedelse af prefunded warrants i punkt 2.10.3 er samtlige 29.925.000 prefunded warrants udnyttet pr. 15. januar 2025.</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2.10.3.1</w:t>
            </w:r>
          </w:p>
        </w:tc>
        <w:tc>
          <w:tcPr>
            <w:tcW w:w="43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According to the board of directors’ grant and issue of prefunded warrants in article 2.10.3 all 29,925,000 prefunded warrants have been exercised per 15 January 2025.</w:t>
            </w:r>
          </w:p>
        </w:tc>
      </w:tr>
      <w:tr>
        <w:trPr/>
        <w:tc>
          <w:tcPr>
            <w:tcW w:w="695" w:type="dxa"/>
            <w:tcBorders/>
            <w:vAlign w:val="center"/>
          </w:tcPr>
          <w:p>
            <w:pPr>
              <w:pStyle w:val="TableContents"/>
              <w:bidi w:val="0"/>
              <w:spacing w:before="0" w:after="283"/>
              <w:jc w:val="both"/>
              <w:rPr/>
            </w:pPr>
            <w:r>
              <w:rPr/>
              <w:t> </w:t>
            </w:r>
          </w:p>
        </w:tc>
        <w:tc>
          <w:tcPr>
            <w:tcW w:w="440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pPr>
            <w:r>
              <w:rPr/>
              <w:t> </w:t>
            </w:r>
          </w:p>
        </w:tc>
        <w:tc>
          <w:tcPr>
            <w:tcW w:w="4367"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2.10.4</w:t>
            </w:r>
          </w:p>
        </w:tc>
        <w:tc>
          <w:tcPr>
            <w:tcW w:w="4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bemyndigelse fra generalforsamlingen i vedtægternes punkt 2.10 har bestyrelsen den 1. februar 2024 tildelt og udstedt i alt 39.375.000 warrants og truffet beslutning om den til disse warrants hørende forhøjelse af selskabets aktiekapital. Warrants udstedes i øvrigt på de i bilag 8 og 9 angivne vilkår. Bemyndigelsen i pkt. 2.10 er herefter fuldt udnyttet.</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2.10.4</w:t>
            </w:r>
          </w:p>
        </w:tc>
        <w:tc>
          <w:tcPr>
            <w:tcW w:w="43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authorization from the general meeting set out in article 2.10 of the articles of association the board of directors has 1 February 2024 granted and issued 39,375,000 warrants and resolved to carry out the increase of the company's share capital relating to the warrants. The warrants are issued on the terms and conditions set out in appendices 8 and 9. The authorization in article 2.10 is hereafter fully exhausted.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993"/>
        <w:gridCol w:w="60"/>
        <w:gridCol w:w="60"/>
        <w:gridCol w:w="5017"/>
      </w:tblGrid>
      <w:tr>
        <w:trPr/>
        <w:tc>
          <w:tcPr>
            <w:tcW w:w="75" w:type="dxa"/>
            <w:tcBorders/>
            <w:vAlign w:val="center"/>
          </w:tcPr>
          <w:p>
            <w:pPr>
              <w:pStyle w:val="TableContents"/>
              <w:bidi w:val="0"/>
              <w:spacing w:before="0" w:after="283"/>
              <w:jc w:val="both"/>
              <w:rPr/>
            </w:pPr>
            <w:r>
              <w:rPr/>
              <w:t> </w:t>
            </w:r>
          </w:p>
        </w:tc>
        <w:tc>
          <w:tcPr>
            <w:tcW w:w="4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Hver warrant udstedt på de i bilag 8 anførte vilkår (37.500.000 warrants) giver ret til tegning af én ordinær aktie á nominelt DKK 1,00 i selskabet til en tegningspris på DKK 2,752 (tegningspris i vedtægterne konverteret fra USD til DKK i henhold til bestyrelsesbeslutning af 25. oktober 2024), og hver warrant udstedt på de i bilag 9 anførte vilkår (1.875.000 warrants) giver ret til tegning af én ordinær aktie á nominelt DKK 1,00 i selskabet til en tegningspris på USD 0,54 omregnet til DKK til den officielle vekselkurs mellem DKK/USD, som er gældende på udnyttelsesdagen, dog minimum DKK 1 pr. aktie à nominelt kr. 1.</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warrant issued on the terms and conditions set out in appendix 8 (37,500,000 warrants) confers the right to subscribe for one ordinary share of nominal DKK 1.00 in the company at a subscription price of DKK 2.752 (subscription price in the articles of association converted from USD to DKK pursuant to board resolution dated 25 October 2024) and each warrant issued on the terms and conditions set out in appendix 9 confers the right to subscribe for one ordinary share of nominal DKK 1.00 in the company at a subscription price of USD 0.54 converted into DKK using the official exchange rate between DKK and USD on the exercise day, provided, however, minimum DKK 1 per share with a nominal value of DKK 1.</w:t>
            </w:r>
          </w:p>
        </w:tc>
      </w:tr>
      <w:tr>
        <w:trPr/>
        <w:tc>
          <w:tcPr>
            <w:tcW w:w="75" w:type="dxa"/>
            <w:tcBorders/>
            <w:vAlign w:val="center"/>
          </w:tcPr>
          <w:p>
            <w:pPr>
              <w:pStyle w:val="TableContents"/>
              <w:bidi w:val="0"/>
              <w:spacing w:before="0" w:after="283"/>
              <w:jc w:val="both"/>
              <w:rPr/>
            </w:pPr>
            <w:r>
              <w:rPr/>
              <w:t> </w:t>
            </w:r>
          </w:p>
        </w:tc>
        <w:tc>
          <w:tcPr>
            <w:tcW w:w="499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warrants and subsequent subscription of shares by exercise of the warrants: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4819"/>
        <w:gridCol w:w="60"/>
        <w:gridCol w:w="380"/>
        <w:gridCol w:w="4551"/>
      </w:tblGrid>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8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mindste og det højeste beløb, hvormed aktiekapitalen skal kunne forhøjes på baggrund af de udstedte warrants, udgør henholdsvis nominelt DKK 1 og DKK 39.375.000.</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51" w:type="dxa"/>
            <w:tcBorders/>
            <w:vAlign w:val="center"/>
          </w:tcPr>
          <w:p>
            <w:pPr>
              <w:pStyle w:val="TableContents"/>
              <w:bidi w:val="0"/>
              <w:spacing w:before="0" w:after="283"/>
              <w:jc w:val="both"/>
              <w:rPr/>
            </w:pPr>
            <w:r>
              <w:rPr>
                <w:rFonts w:ascii="Times New Roman;Times;Serif" w:hAnsi="Times New Roman;Times;Serif"/>
                <w:sz w:val="20"/>
              </w:rPr>
              <w:t xml:space="preserve">The minimum and the maximum nominal amount of the capital increase(s) that can be subscribed for on the basis of the </w:t>
            </w:r>
            <w:r>
              <w:rPr>
                <w:rFonts w:ascii="Times New Roman;Times;Serif" w:hAnsi="Times New Roman;Times;Serif"/>
              </w:rPr>
              <w:t>warrants is DKK 1 and DKK 39,375,000, respectively.</w:t>
            </w:r>
          </w:p>
        </w:tc>
      </w:tr>
      <w:tr>
        <w:trPr/>
        <w:tc>
          <w:tcPr>
            <w:tcW w:w="395" w:type="dxa"/>
            <w:tcBorders/>
            <w:vAlign w:val="center"/>
          </w:tcPr>
          <w:p>
            <w:pPr>
              <w:pStyle w:val="TableContents"/>
              <w:bidi w:val="0"/>
              <w:spacing w:before="0" w:after="283"/>
              <w:jc w:val="both"/>
              <w:rPr/>
            </w:pPr>
            <w:r>
              <w:rPr/>
              <w:t> </w:t>
            </w:r>
          </w:p>
        </w:tc>
        <w:tc>
          <w:tcPr>
            <w:tcW w:w="481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551"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8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Tegningskursen for kapitalforhøjelsen er fastsat til DKK 2,752 (tegningskurs i vedtægterne konverteret fra USD til DKK i henhold til bestyrelsesbeslutning af 25. oktober 2024) pr. aktie á nominelt DKK 1 for warrants udstedt på de i bilag 8 anførte vilkår og USD 0,54 pr. aktie á nominelt DKK 1 omregnet til DKK til den officielle vekselkurs mellem DKK/USD som er gældende på udnyttelsesdagen, dog minimum DKK 1 pr. aktie à nominelt kr. 1 for warrants udstedt på de i bilag 9 anførte vilkår.</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subscription will be made at a subscription price of DKK 2.752 (subscription price in the articles of association converted from USD to DKK pursuant to board resolution dated 25 October 2024) per share of nominal DKK 1.00 for warrants issued on the terms and conditions set out in appendix 8 and USD 0.54 per share of nominal DKK 1.00 converted into DKK using the official exchange rate between DKK and USD on the exercise day, however, minimum DKK 1 per share with a nominal value of DKK 1 for warrants issued on the terms and conditions set out in appendix 9.</w:t>
            </w:r>
          </w:p>
        </w:tc>
      </w:tr>
      <w:tr>
        <w:trPr/>
        <w:tc>
          <w:tcPr>
            <w:tcW w:w="395" w:type="dxa"/>
            <w:tcBorders/>
            <w:vAlign w:val="center"/>
          </w:tcPr>
          <w:p>
            <w:pPr>
              <w:pStyle w:val="TableContents"/>
              <w:bidi w:val="0"/>
              <w:spacing w:before="0" w:after="283"/>
              <w:jc w:val="both"/>
              <w:rPr/>
            </w:pPr>
            <w:r>
              <w:rPr/>
              <w:t> </w:t>
            </w:r>
          </w:p>
        </w:tc>
        <w:tc>
          <w:tcPr>
            <w:tcW w:w="481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551"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8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10.000 (ekskl. moms).</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in connection with the capital increase to be borne by the company are approx. DKK 10,000 (excluding VAT).</w:t>
            </w:r>
          </w:p>
        </w:tc>
      </w:tr>
      <w:tr>
        <w:trPr/>
        <w:tc>
          <w:tcPr>
            <w:tcW w:w="395" w:type="dxa"/>
            <w:tcBorders/>
            <w:vAlign w:val="center"/>
          </w:tcPr>
          <w:p>
            <w:pPr>
              <w:pStyle w:val="TableContents"/>
              <w:bidi w:val="0"/>
              <w:spacing w:before="0" w:after="283"/>
              <w:jc w:val="both"/>
              <w:rPr/>
            </w:pPr>
            <w:r>
              <w:rPr/>
              <w:t> </w:t>
            </w:r>
          </w:p>
        </w:tc>
        <w:tc>
          <w:tcPr>
            <w:tcW w:w="481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551"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481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551"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48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Øvrige vilkår for de udstedte warrants og den senere tegning af aktier ved udnyttelse af disse warrants fremgår af vedtægternes bilag 8 og 9.</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5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terms and conditions applicable to the granted warrants and subsequent subscription of shares by exercise of the warrants are set forth in appendices 8 and 9 to the articles of association.</w:t>
            </w:r>
          </w:p>
        </w:tc>
      </w:tr>
      <w:tr>
        <w:trPr/>
        <w:tc>
          <w:tcPr>
            <w:tcW w:w="395" w:type="dxa"/>
            <w:tcBorders/>
            <w:vAlign w:val="center"/>
          </w:tcPr>
          <w:p>
            <w:pPr>
              <w:pStyle w:val="TableContents"/>
              <w:bidi w:val="0"/>
              <w:spacing w:before="0" w:after="283"/>
              <w:jc w:val="both"/>
              <w:rPr/>
            </w:pPr>
            <w:r>
              <w:rPr/>
              <w:t> </w:t>
            </w:r>
          </w:p>
        </w:tc>
        <w:tc>
          <w:tcPr>
            <w:tcW w:w="481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551"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w:t>
            </w:r>
          </w:p>
        </w:tc>
        <w:tc>
          <w:tcPr>
            <w:tcW w:w="4819" w:type="dxa"/>
            <w:tcBorders/>
            <w:vAlign w:val="center"/>
          </w:tcPr>
          <w:p>
            <w:pPr>
              <w:pStyle w:val="TableContents"/>
              <w:bidi w:val="0"/>
              <w:spacing w:before="0" w:after="283"/>
              <w:jc w:val="both"/>
              <w:rPr/>
            </w:pPr>
            <w:r>
              <w:rPr>
                <w:rFonts w:ascii="Times New Roman;Times;Serif" w:hAnsi="Times New Roman;Times;Serif"/>
                <w:sz w:val="20"/>
              </w:rPr>
              <w:t xml:space="preserve">Bestyrelsen er i perioden indtil 15. april 2029 bemyndiget til ad én eller flere gange at udstede warrants til investorer, långivere, konsulenter og/eller rådgivere i selskabet eller dets datterselskaber, som giver ret til tegning af i alt op til nominelt DKK 100.000.000 uden fortegningsret for selskabets aktionærer. Udnyttelseskursen for warrants, der er udstedt i henhold til </w:t>
            </w:r>
            <w:r>
              <w:rPr>
                <w:rFonts w:ascii="Times New Roman;Times;Serif" w:hAnsi="Times New Roman;Times;Serif"/>
              </w:rPr>
              <w:t>denne bemyndigelse, skal ved udstedelsen fastsættes af bestyrelsen til markedsprisen eller en favørkurs. Bestyrelsen fastlægger vilkårene for udstedte warrants og fordelingen heraf.</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w:t>
            </w:r>
          </w:p>
        </w:tc>
        <w:tc>
          <w:tcPr>
            <w:tcW w:w="45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of directors is until 15 April 2029 authorized at one or more times to issue warrants to investors, lenders, consultants and/or advisors in the company or its subsidiaries entitling the holder to subscribe for shares for a total of up to nominal value of DKK 100,000,000 without pre-emptive subscription rights for the company's shareholders. The exercise price for the warrants issued according to this authorization shall at the time of issuance be determined by the board of directors at market price or at a discount price. The board of directors shall determine the terms for the warrants issued and the distribution 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283"/>
        <w:gridCol w:w="60"/>
        <w:gridCol w:w="60"/>
        <w:gridCol w:w="4727"/>
      </w:tblGrid>
      <w:tr>
        <w:trPr/>
        <w:tc>
          <w:tcPr>
            <w:tcW w:w="75" w:type="dxa"/>
            <w:tcBorders/>
            <w:vAlign w:val="center"/>
          </w:tcPr>
          <w:p>
            <w:pPr>
              <w:pStyle w:val="TableContents"/>
              <w:bidi w:val="0"/>
              <w:spacing w:before="0" w:after="283"/>
              <w:jc w:val="both"/>
              <w:rPr/>
            </w:pPr>
            <w:r>
              <w:rPr/>
              <w:t> </w:t>
            </w:r>
          </w:p>
        </w:tc>
        <w:tc>
          <w:tcPr>
            <w:tcW w:w="5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Bestyrelsen er samtidig bemyndiget til i perioden indtil 15. april 2029 ad én eller flere gange at forhøje selskabets aktiekapital med op til i alt nominelt DKK 100.000.000 uden fortegningsret for selskabets aktionærer ved kontant indbetaling med henblik på at gennemføre de til udnyttelsen af udstedte warrants tilhørende kapitalforhøjelse. Bestyrelsen kan med hjemmel i denne bemyndigelse minimum forhøje aktiekapitalen med nominelt DKK 0,25 og maksimalt med nominelt DKK 100.000.000. Bestyrelsen er bemyndiget til at foretage de fornødne vedtægtsændringer i tilfælde af udnyttelse af bemyndigelsen til at forhøje aktiekapitalen og til at foranledige sådanne aktiers deponering hos en depotbank og samtidig udstedelse af American Depositary Shares.</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same time, the board of directors is authorized until 15 April 2029 at one or more times to increase the company's share capital with up to nominal value of DKK 100,000,000 without pre-emptive rights for the company's shareholders by cash payment in order to implement the capital increase related to exercise of warrants. In accordance with this clause the board of directors may increase share capital with a minimum nominal value of DKK 0.25 and a maximum nominal value of DKK 100,000,000. The board of directors is authorized to make the required amendments to the articles of association if the authorization to increase the share capital is used and to cause such shares to be deposited with a depositary bank and the simultaneous issuance of American Depositary Shares.</w:t>
            </w:r>
          </w:p>
        </w:tc>
      </w:tr>
      <w:tr>
        <w:trPr/>
        <w:tc>
          <w:tcPr>
            <w:tcW w:w="75" w:type="dxa"/>
            <w:tcBorders/>
            <w:vAlign w:val="center"/>
          </w:tcPr>
          <w:p>
            <w:pPr>
              <w:pStyle w:val="TableContents"/>
              <w:bidi w:val="0"/>
              <w:spacing w:before="0" w:after="283"/>
              <w:jc w:val="both"/>
              <w:rPr/>
            </w:pPr>
            <w:r>
              <w:rPr/>
              <w:t> </w:t>
            </w:r>
          </w:p>
        </w:tc>
        <w:tc>
          <w:tcPr>
            <w:tcW w:w="528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283" w:type="dxa"/>
            <w:tcBorders/>
            <w:vAlign w:val="center"/>
          </w:tcPr>
          <w:p>
            <w:pPr>
              <w:pStyle w:val="TableContents"/>
              <w:bidi w:val="0"/>
              <w:spacing w:before="0" w:after="283"/>
              <w:jc w:val="both"/>
              <w:rPr/>
            </w:pPr>
            <w:r>
              <w:rPr>
                <w:rFonts w:ascii="Times New Roman;Times;Serif" w:hAnsi="Times New Roman;Times;Serif"/>
                <w:sz w:val="20"/>
              </w:rPr>
              <w:t xml:space="preserve">De aktier, som måtte blive tegnet ved udnyttelse af warrants, skal være ikke-omsætningspapirer og skal lyde på navn og noteres på navn i selskabets ejerbog. Aktierne skal være underlagt samme indskrænkninger i aktiernes omsættelighed, som er gældende for selskabets øvrige aktier, og ingen aktionær skal være forpligtet til at lade sine aktier indløse helt eller delvist. Ingen delvis indbetaling er tilladt. </w:t>
            </w:r>
            <w:r>
              <w:rPr>
                <w:rFonts w:ascii="Times New Roman;Times;Serif" w:hAnsi="Times New Roman;Times;Serif"/>
              </w:rPr>
              <w:t>Aktierne skal i det hele være ligestillet med den bestående aktiekapital og skal ikke tilhøre en særlig aktieklasse. Aktierne giver ret til udbytte og andre rettigheder i selskabet på tidspunktet for registreringen af kapitalforhøjelsen i Erhvervsstyrelsen.</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27" w:type="dxa"/>
            <w:tcBorders/>
            <w:vAlign w:val="center"/>
          </w:tcPr>
          <w:p>
            <w:pPr>
              <w:pStyle w:val="TableContents"/>
              <w:bidi w:val="0"/>
              <w:spacing w:before="0" w:after="283"/>
              <w:jc w:val="both"/>
              <w:rPr/>
            </w:pPr>
            <w:r>
              <w:rPr>
                <w:rFonts w:ascii="Times New Roman;Times;Serif" w:hAnsi="Times New Roman;Times;Serif"/>
                <w:sz w:val="20"/>
              </w:rPr>
              <w:t xml:space="preserve">The shares issued based on exercise of warrants shall be non-negotiable instruments issued in the name of the holder and registered in the name of the holder in the company's register of shareholders. The shares shall be subject to the same restrictions on transferability as the existing shares of the company and no shareholder shall be obliged to have the shares redeemed fully or partly. No partial </w:t>
            </w:r>
            <w:r>
              <w:rPr>
                <w:rFonts w:ascii="Times New Roman;Times;Serif" w:hAnsi="Times New Roman;Times;Serif"/>
              </w:rPr>
              <w:t>payment is allowed. The shares shall be with the same rights as the existing share capital and shall not belong to a specific share class. The shares shall give rights to dividends and other rights in the company from the time of registration of the capital increase with the Danish Business Authority.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
        <w:gridCol w:w="4602"/>
        <w:gridCol w:w="60"/>
        <w:gridCol w:w="530"/>
        <w:gridCol w:w="4468"/>
      </w:tblGrid>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2.11.1</w:t>
            </w:r>
          </w:p>
        </w:tc>
        <w:tc>
          <w:tcPr>
            <w:tcW w:w="46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bemyndigelse fra generalforsamlingen i vedtægternes punkt 2.11 har bestyrelsen den 7. maj 2024 tildelt og udstedt i alt 50.000 warrants og truffet beslutning om den til disse warrants hørende forhøjelse af selskabets aktiekapital. Warrants udstedes i øvrigt på de i bilag 10 angivne vilkår. Bemyndigelsen i pkt. 2.11 er herefter nedsat til nominelt DKK 99.950.000.</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2.11.1</w:t>
            </w:r>
          </w:p>
        </w:tc>
        <w:tc>
          <w:tcPr>
            <w:tcW w:w="44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authorization from the general meeting set out in article 2.11 of the articles of association the board of directors has on 7 May 2024 granted and issued 50,000 warrants and resolved to carry out the increase of the company's share capital relating to the warrants. The warrants are issued on the terms and conditions set out in appendix 10. The authorization in article 2.11 is hereafter reduced to 99,950,000.</w:t>
            </w:r>
          </w:p>
        </w:tc>
      </w:tr>
      <w:tr>
        <w:trPr/>
        <w:tc>
          <w:tcPr>
            <w:tcW w:w="545" w:type="dxa"/>
            <w:tcBorders/>
            <w:vAlign w:val="center"/>
          </w:tcPr>
          <w:p>
            <w:pPr>
              <w:pStyle w:val="TableContents"/>
              <w:bidi w:val="0"/>
              <w:spacing w:before="0" w:after="283"/>
              <w:jc w:val="both"/>
              <w:rPr/>
            </w:pPr>
            <w:r>
              <w:rPr/>
              <w:t> </w:t>
            </w:r>
          </w:p>
        </w:tc>
        <w:tc>
          <w:tcPr>
            <w:tcW w:w="46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468"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6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Hver warrant giver ret til tegning af én ordinær aktie á nominelt DKK 1,00 i selskabet til en tegningspris på USD 0,391 omregnet til DKK til den officielle vekselkurs mellem DKK/USD, som er gældende på udnyttelsesdagen, dog minimum DKK 1 pr. aktie à nominelt kr. 1.</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4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warrant confers the right to subscribe for one ordinary share of nominal DKK 1.00 in the company at a subscription price of USD 0.391 converted into DKK using the official exchange rate between DKK and USD on the exercise day, provided, however no less than DKK 1 per share of nominal DKK 1.</w:t>
            </w:r>
          </w:p>
        </w:tc>
      </w:tr>
      <w:tr>
        <w:trPr/>
        <w:tc>
          <w:tcPr>
            <w:tcW w:w="545" w:type="dxa"/>
            <w:tcBorders/>
            <w:vAlign w:val="center"/>
          </w:tcPr>
          <w:p>
            <w:pPr>
              <w:pStyle w:val="TableContents"/>
              <w:bidi w:val="0"/>
              <w:spacing w:before="0" w:after="283"/>
              <w:jc w:val="both"/>
              <w:rPr/>
            </w:pPr>
            <w:r>
              <w:rPr/>
              <w:t> </w:t>
            </w:r>
          </w:p>
        </w:tc>
        <w:tc>
          <w:tcPr>
            <w:tcW w:w="46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468"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6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4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warrants and subsequent subscription of shares by exercise of the warrants:</w:t>
            </w:r>
          </w:p>
        </w:tc>
      </w:tr>
      <w:tr>
        <w:trPr/>
        <w:tc>
          <w:tcPr>
            <w:tcW w:w="545" w:type="dxa"/>
            <w:tcBorders/>
            <w:vAlign w:val="center"/>
          </w:tcPr>
          <w:p>
            <w:pPr>
              <w:pStyle w:val="TableContents"/>
              <w:bidi w:val="0"/>
              <w:spacing w:before="0" w:after="283"/>
              <w:jc w:val="both"/>
              <w:rPr/>
            </w:pPr>
            <w:r>
              <w:rPr/>
              <w:t> </w:t>
            </w:r>
          </w:p>
        </w:tc>
        <w:tc>
          <w:tcPr>
            <w:tcW w:w="46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468"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6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mindste og det højeste beløb, hvormed aktiekapitalen skal kunne forhøjes på baggrund af de udstedte warrants, udgør henholdsvis nominelt DKK 1 og DKK 50.000.</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468" w:type="dxa"/>
            <w:tcBorders/>
            <w:vAlign w:val="center"/>
          </w:tcPr>
          <w:p>
            <w:pPr>
              <w:pStyle w:val="TableContents"/>
              <w:bidi w:val="0"/>
              <w:spacing w:before="0" w:after="283"/>
              <w:jc w:val="both"/>
              <w:rPr/>
            </w:pPr>
            <w:r>
              <w:rPr>
                <w:rFonts w:ascii="Times New Roman;Times;Serif" w:hAnsi="Times New Roman;Times;Serif"/>
                <w:sz w:val="20"/>
              </w:rPr>
              <w:t xml:space="preserve">The minimum and the maximum nominal amount of the capital increase(s) that can be subscribed for on the basis of the </w:t>
            </w:r>
            <w:r>
              <w:rPr>
                <w:rFonts w:ascii="Times New Roman;Times;Serif" w:hAnsi="Times New Roman;Times;Serif"/>
              </w:rPr>
              <w:t>warrants is DKK 1 and DKK 50,000,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545"/>
        <w:gridCol w:w="4536"/>
        <w:gridCol w:w="60"/>
        <w:gridCol w:w="530"/>
        <w:gridCol w:w="4534"/>
      </w:tblGrid>
      <w:tr>
        <w:trPr/>
        <w:tc>
          <w:tcPr>
            <w:tcW w:w="545" w:type="dxa"/>
            <w:tcBorders/>
            <w:vAlign w:val="center"/>
          </w:tcPr>
          <w:p>
            <w:pPr>
              <w:pStyle w:val="TableContents"/>
              <w:bidi w:val="0"/>
              <w:spacing w:before="0" w:after="283"/>
              <w:jc w:val="both"/>
              <w:rPr>
                <w:sz w:val="20"/>
              </w:rPr>
            </w:pPr>
            <w:r>
              <w:rPr>
                <w:sz w:val="20"/>
              </w:rPr>
              <w:t>-</w:t>
            </w:r>
          </w:p>
        </w:tc>
        <w:tc>
          <w:tcPr>
            <w:tcW w:w="45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Tegningskursen for kapitalforhøjelsen er fastsat til USD 0,391 pr. aktie á nominelt DKK 1 omregnet til DKK til den officielle vekselkurs mellem DKK/USD som er gældende på udnyttelsesdagen, dog minimum DKK 1 pr. aktie à nominelt kr. 1.</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r>
              <w:rPr>
                <w:rFonts w:ascii="Times New Roman;Times;Serif" w:hAnsi="Times New Roman;Times;Serif"/>
                <w:sz w:val="20"/>
              </w:rPr>
              <w:t>-</w:t>
            </w:r>
          </w:p>
        </w:tc>
        <w:tc>
          <w:tcPr>
            <w:tcW w:w="45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will be made at a subscription price of USD 0.391 per share of nominal DKK 1.00 converted into DKK using the official exchange rate between DKK and USD on the exercise day, however no less than DKK 1 per share of nominal DKK 1.</w:t>
            </w:r>
          </w:p>
        </w:tc>
      </w:tr>
      <w:tr>
        <w:trPr/>
        <w:tc>
          <w:tcPr>
            <w:tcW w:w="545" w:type="dxa"/>
            <w:tcBorders/>
            <w:vAlign w:val="center"/>
          </w:tcPr>
          <w:p>
            <w:pPr>
              <w:pStyle w:val="TableContents"/>
              <w:bidi w:val="0"/>
              <w:spacing w:before="0" w:after="283"/>
              <w:jc w:val="both"/>
              <w:rPr/>
            </w:pPr>
            <w:r>
              <w:rPr/>
              <w:t> </w:t>
            </w:r>
          </w:p>
        </w:tc>
        <w:tc>
          <w:tcPr>
            <w:tcW w:w="45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534"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r>
              <w:rPr>
                <w:rFonts w:ascii="Times New Roman;Times;Serif" w:hAnsi="Times New Roman;Times;Serif"/>
                <w:sz w:val="20"/>
              </w:rPr>
              <w:t>-</w:t>
            </w:r>
          </w:p>
        </w:tc>
        <w:tc>
          <w:tcPr>
            <w:tcW w:w="45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 anslåede omkostninger, der skal afholdes af selskabet ved kapitalforhøjelsen, udgør DKK 10.000 (ekskl. moms).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r>
              <w:rPr>
                <w:rFonts w:ascii="Times New Roman;Times;Serif" w:hAnsi="Times New Roman;Times;Serif"/>
                <w:sz w:val="20"/>
              </w:rPr>
              <w:t>-</w:t>
            </w:r>
          </w:p>
        </w:tc>
        <w:tc>
          <w:tcPr>
            <w:tcW w:w="45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costs in connection with the capital increase to be borne by the company are approx. DKK 10,000 (excluding VAT).</w:t>
            </w:r>
          </w:p>
        </w:tc>
      </w:tr>
      <w:tr>
        <w:trPr/>
        <w:tc>
          <w:tcPr>
            <w:tcW w:w="545" w:type="dxa"/>
            <w:tcBorders/>
            <w:vAlign w:val="center"/>
          </w:tcPr>
          <w:p>
            <w:pPr>
              <w:pStyle w:val="TableContents"/>
              <w:bidi w:val="0"/>
              <w:spacing w:before="0" w:after="283"/>
              <w:jc w:val="both"/>
              <w:rPr/>
            </w:pPr>
            <w:r>
              <w:rPr/>
              <w:t> </w:t>
            </w:r>
          </w:p>
        </w:tc>
        <w:tc>
          <w:tcPr>
            <w:tcW w:w="45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534"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5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Øvrige vilkår for de udstedte warrants, og den senere tegning af aktier ved udnyttelse af disse warrants, fremgår af vedtægternes bilag 10.</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5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Additional terms and conditions applicable to the granted warrants and subsequent subscription of shares by exercise of the warrants are set forth in appendix 10 to the articles of association.</w:t>
            </w:r>
          </w:p>
        </w:tc>
      </w:tr>
      <w:tr>
        <w:trPr/>
        <w:tc>
          <w:tcPr>
            <w:tcW w:w="545" w:type="dxa"/>
            <w:tcBorders/>
            <w:vAlign w:val="center"/>
          </w:tcPr>
          <w:p>
            <w:pPr>
              <w:pStyle w:val="TableContents"/>
              <w:bidi w:val="0"/>
              <w:spacing w:before="0" w:after="283"/>
              <w:jc w:val="both"/>
              <w:rPr/>
            </w:pPr>
            <w:r>
              <w:rPr/>
              <w:t> </w:t>
            </w:r>
          </w:p>
        </w:tc>
        <w:tc>
          <w:tcPr>
            <w:tcW w:w="45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534"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2.11.2</w:t>
            </w:r>
          </w:p>
        </w:tc>
        <w:tc>
          <w:tcPr>
            <w:tcW w:w="45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bemyndigelse fra generalforsamlingen i vedtægternes punkt 2.11 har bestyrelsen den 20. august 2024 tildelt og udstedt i alt 50.000 warrants og truffet beslutning om den til disse warrants hørende forhøjelse af selskabets aktiekapital. Warrants udstedes i øvrigt på de i bilag 10 angivne vilkår dog således at warrants anses som tildelt 5. august 2024. Bemyndigelsen i pkt. 2.11 er herefter nedsat til nominelt DKK 99.900.000.</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2.11.2</w:t>
            </w:r>
          </w:p>
        </w:tc>
        <w:tc>
          <w:tcPr>
            <w:tcW w:w="45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authorization from the general meeting set out in article 2.11 of the articles of association the board of directors has on 20 August 2024 granted and issued 50,000 warrants and resolved to carry out the increase of the company's share capital relating to the warrants. The warrants are issued on the terms and conditions set out in appendix 10, however, that warrants are deemed granted on 5 August 2024. The authorization in article 2.11 is hereafter reduced to 99,900,000.</w:t>
            </w:r>
          </w:p>
        </w:tc>
      </w:tr>
      <w:tr>
        <w:trPr/>
        <w:tc>
          <w:tcPr>
            <w:tcW w:w="545" w:type="dxa"/>
            <w:tcBorders/>
            <w:vAlign w:val="center"/>
          </w:tcPr>
          <w:p>
            <w:pPr>
              <w:pStyle w:val="TableContents"/>
              <w:bidi w:val="0"/>
              <w:spacing w:before="0" w:after="283"/>
              <w:jc w:val="both"/>
              <w:rPr/>
            </w:pPr>
            <w:r>
              <w:rPr/>
              <w:t> </w:t>
            </w:r>
          </w:p>
        </w:tc>
        <w:tc>
          <w:tcPr>
            <w:tcW w:w="45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534"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536" w:type="dxa"/>
            <w:tcBorders/>
            <w:vAlign w:val="center"/>
          </w:tcPr>
          <w:p>
            <w:pPr>
              <w:pStyle w:val="TableContents"/>
              <w:bidi w:val="0"/>
              <w:spacing w:before="0" w:after="283"/>
              <w:jc w:val="both"/>
              <w:rPr/>
            </w:pPr>
            <w:r>
              <w:rPr>
                <w:rFonts w:ascii="Times New Roman;Times;Serif" w:hAnsi="Times New Roman;Times;Serif"/>
                <w:sz w:val="20"/>
              </w:rPr>
              <w:t xml:space="preserve">Hver warrant giver ret til tegning af én ordinær aktie á nominelt DKK 1,00 i selskabet til en tegningspris på USD 0,25 omregnet til DKK til den officielle vekselkurs mellem DKK/USD, som er gældende på </w:t>
            </w:r>
            <w:r>
              <w:rPr>
                <w:rFonts w:ascii="Times New Roman;Times;Serif" w:hAnsi="Times New Roman;Times;Serif"/>
              </w:rPr>
              <w:t>udnyttelsesdagen, dog minimum DKK 1 pr. aktie à nominelt kr. 1.</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2.12</w:t>
            </w:r>
          </w:p>
        </w:tc>
        <w:tc>
          <w:tcPr>
            <w:tcW w:w="4534" w:type="dxa"/>
            <w:tcBorders/>
            <w:vAlign w:val="center"/>
          </w:tcPr>
          <w:p>
            <w:pPr>
              <w:pStyle w:val="TableContents"/>
              <w:bidi w:val="0"/>
              <w:spacing w:before="0" w:after="283"/>
              <w:jc w:val="both"/>
              <w:rPr/>
            </w:pPr>
            <w:r>
              <w:rPr>
                <w:rFonts w:ascii="Times New Roman;Times;Serif" w:hAnsi="Times New Roman;Times;Serif"/>
                <w:sz w:val="20"/>
              </w:rPr>
              <w:t>Each warrant confers the right to subscribe for one ordinary share of nominal DKK 1.00 in the company at a subscription price of USD 0.25 converted into DKK using the official exchange rate between DKK and USD on the exercise day, </w:t>
            </w:r>
            <w:r>
              <w:rPr>
                <w:rFonts w:ascii="Times New Roman;Times;Serif" w:hAnsi="Times New Roman;Times;Serif"/>
              </w:rPr>
              <w:t>provided, however no less than DKK 1 per share of nominal DKK 1.</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
        <w:gridCol w:w="4921"/>
        <w:gridCol w:w="60"/>
        <w:gridCol w:w="440"/>
        <w:gridCol w:w="4689"/>
      </w:tblGrid>
      <w:tr>
        <w:trPr/>
        <w:tc>
          <w:tcPr>
            <w:tcW w:w="95" w:type="dxa"/>
            <w:tcBorders/>
            <w:vAlign w:val="center"/>
          </w:tcPr>
          <w:p>
            <w:pPr>
              <w:pStyle w:val="TableContents"/>
              <w:bidi w:val="0"/>
              <w:spacing w:before="0" w:after="283"/>
              <w:jc w:val="both"/>
              <w:rPr/>
            </w:pPr>
            <w:r>
              <w:rPr/>
              <w:t> </w:t>
            </w:r>
          </w:p>
        </w:tc>
        <w:tc>
          <w:tcPr>
            <w:tcW w:w="49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2.13</w:t>
            </w:r>
          </w:p>
        </w:tc>
        <w:tc>
          <w:tcPr>
            <w:tcW w:w="46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warrants and subsequent subscription of shares by exercise of the warrants:</w:t>
            </w:r>
          </w:p>
        </w:tc>
      </w:tr>
      <w:tr>
        <w:trPr/>
        <w:tc>
          <w:tcPr>
            <w:tcW w:w="95" w:type="dxa"/>
            <w:tcBorders/>
            <w:vAlign w:val="center"/>
          </w:tcPr>
          <w:p>
            <w:pPr>
              <w:pStyle w:val="TableContents"/>
              <w:bidi w:val="0"/>
              <w:spacing w:before="0" w:after="283"/>
              <w:jc w:val="both"/>
              <w:rPr/>
            </w:pPr>
            <w:r>
              <w:rPr/>
              <w:t> </w:t>
            </w:r>
          </w:p>
        </w:tc>
        <w:tc>
          <w:tcPr>
            <w:tcW w:w="492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 </w:t>
            </w:r>
          </w:p>
        </w:tc>
        <w:tc>
          <w:tcPr>
            <w:tcW w:w="4689"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 mindste og det højeste beløb, hvormed aktiekapitalen skal kunne forhøjes på baggrund af de udstedte warrants, udgør henholdsvis nominelt DKK 1 og DKK 50.000.</w:t>
            </w:r>
          </w:p>
        </w:tc>
        <w:tc>
          <w:tcPr>
            <w:tcW w:w="60"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6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minimum and the maximum nominal amount of the capital increase(s) that can be subscribed for on the basis of the warrants is DKK 1 and DKK 50,000, respectively.</w:t>
            </w:r>
          </w:p>
        </w:tc>
      </w:tr>
      <w:tr>
        <w:trPr/>
        <w:tc>
          <w:tcPr>
            <w:tcW w:w="95" w:type="dxa"/>
            <w:tcBorders/>
            <w:vAlign w:val="center"/>
          </w:tcPr>
          <w:p>
            <w:pPr>
              <w:pStyle w:val="TableContents"/>
              <w:bidi w:val="0"/>
              <w:spacing w:before="0" w:after="283"/>
              <w:jc w:val="both"/>
              <w:rPr/>
            </w:pPr>
            <w:r>
              <w:rPr/>
              <w:t> </w:t>
            </w:r>
          </w:p>
        </w:tc>
        <w:tc>
          <w:tcPr>
            <w:tcW w:w="492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 </w:t>
            </w:r>
          </w:p>
        </w:tc>
        <w:tc>
          <w:tcPr>
            <w:tcW w:w="4689"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Tegningskursen for kapitalforhøjelsen er fastsat til USD 0,25 pr. aktie á nominelt DKK 1 omregnet til DKK til den officielle vekselkurs mellem DKK/USD som er gældende på udnyttelsesdagen, dog minimum DKK 1 pr. aktie à nominelt kr. 1.</w:t>
            </w:r>
          </w:p>
        </w:tc>
        <w:tc>
          <w:tcPr>
            <w:tcW w:w="60"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6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will be made at a subscription price of USD 0.25 per share of nominal DKK 1.00 converted into DKK using the official exchange rate between DKK and USD on the exercise day, however no less than DKK 1 per share of nominal DKK 1.</w:t>
            </w:r>
          </w:p>
        </w:tc>
      </w:tr>
      <w:tr>
        <w:trPr/>
        <w:tc>
          <w:tcPr>
            <w:tcW w:w="95" w:type="dxa"/>
            <w:tcBorders/>
            <w:vAlign w:val="center"/>
          </w:tcPr>
          <w:p>
            <w:pPr>
              <w:pStyle w:val="TableContents"/>
              <w:bidi w:val="0"/>
              <w:spacing w:before="0" w:after="283"/>
              <w:jc w:val="both"/>
              <w:rPr/>
            </w:pPr>
            <w:r>
              <w:rPr/>
              <w:t> </w:t>
            </w:r>
          </w:p>
        </w:tc>
        <w:tc>
          <w:tcPr>
            <w:tcW w:w="492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 </w:t>
            </w:r>
          </w:p>
        </w:tc>
        <w:tc>
          <w:tcPr>
            <w:tcW w:w="4689"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10.000 (ekskl. moms).</w:t>
            </w:r>
          </w:p>
        </w:tc>
        <w:tc>
          <w:tcPr>
            <w:tcW w:w="60"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6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costs in connection with the capital increase to be borne by the company are approx. DKK 10,000 (excluding VAT).</w:t>
            </w:r>
          </w:p>
        </w:tc>
      </w:tr>
      <w:tr>
        <w:trPr/>
        <w:tc>
          <w:tcPr>
            <w:tcW w:w="95" w:type="dxa"/>
            <w:tcBorders/>
            <w:vAlign w:val="center"/>
          </w:tcPr>
          <w:p>
            <w:pPr>
              <w:pStyle w:val="TableContents"/>
              <w:bidi w:val="0"/>
              <w:spacing w:before="0" w:after="283"/>
              <w:jc w:val="both"/>
              <w:rPr/>
            </w:pPr>
            <w:r>
              <w:rPr/>
              <w:t> </w:t>
            </w:r>
          </w:p>
        </w:tc>
        <w:tc>
          <w:tcPr>
            <w:tcW w:w="492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 </w:t>
            </w:r>
          </w:p>
        </w:tc>
        <w:tc>
          <w:tcPr>
            <w:tcW w:w="4689"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pPr>
            <w:r>
              <w:rPr/>
              <w:t> </w:t>
            </w:r>
          </w:p>
        </w:tc>
        <w:tc>
          <w:tcPr>
            <w:tcW w:w="49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Øvrige vilkår for de udstedte warrants, og den senere tegning af aktier ved udnyttelse af disse warrants, fremgår af vedtægternes bilag 10.</w:t>
            </w:r>
          </w:p>
        </w:tc>
        <w:tc>
          <w:tcPr>
            <w:tcW w:w="60"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 </w:t>
            </w:r>
          </w:p>
        </w:tc>
        <w:tc>
          <w:tcPr>
            <w:tcW w:w="46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Additional terms and conditions applicable to the granted warrants and subsequent subscription of shares by exercise of the warrants are set forth in appendix 10 to the articles of association.</w:t>
            </w:r>
          </w:p>
        </w:tc>
      </w:tr>
    </w:tbl>
    <w:p>
      <w:pPr>
        <w:pStyle w:val="TextBody"/>
        <w:bidi w:val="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545"/>
        <w:gridCol w:w="4313"/>
        <w:gridCol w:w="60"/>
        <w:gridCol w:w="620"/>
        <w:gridCol w:w="4667"/>
      </w:tblGrid>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2.11.3</w:t>
            </w:r>
          </w:p>
        </w:tc>
        <w:tc>
          <w:tcPr>
            <w:tcW w:w="43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bemyndigelse fra generalforsamlingen i vedtægternes punkt 2.11 har bestyrelsen den 20. august 2024 tildelt og udstedt i alt 1.400.000 warrants og truffet beslutning om den til disse warrants hørende forhøjelse af selskabets aktiekapital. Warrants udstedes i øvrigt på de i bilag 10 angivne vilkår dog således at warrants anses som tildelt 1. august 2024, optjenes med 1/6 pr. måned og kan udnyttes i en periode på en måned efter udløbet af 6 måneders optjeningsperioden. Bemyndigelsen i pkt. 2.11 er herefter nedsat til nominelt DKK 98.500.000.</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2.11.3</w:t>
            </w:r>
          </w:p>
        </w:tc>
        <w:tc>
          <w:tcPr>
            <w:tcW w:w="46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Pursuant to the authorization from the general meeting set out in article 2.11 of the articles of association the board of directors has on 20 August 2024 granted and issued 1,400,000 warrants and resolved to carry out the increase of the company's share capital relating to the warrants. The warrants are issued on the terms and conditions set out in appendix 10, however, that warrants are deemed granted on 1 August 2024, vest with 1/6 per month and can be exercised for a period of one month after the expiration of the 6 months vesting period. The authorization in article 2.11 is hereafter reduced to 98,500,000.</w:t>
            </w:r>
          </w:p>
        </w:tc>
      </w:tr>
      <w:tr>
        <w:trPr/>
        <w:tc>
          <w:tcPr>
            <w:tcW w:w="545" w:type="dxa"/>
            <w:tcBorders/>
            <w:vAlign w:val="center"/>
          </w:tcPr>
          <w:p>
            <w:pPr>
              <w:pStyle w:val="TableContents"/>
              <w:bidi w:val="0"/>
              <w:spacing w:before="0" w:after="283"/>
              <w:jc w:val="both"/>
              <w:rPr/>
            </w:pPr>
            <w:r>
              <w:rPr/>
              <w:t> </w:t>
            </w:r>
          </w:p>
        </w:tc>
        <w:tc>
          <w:tcPr>
            <w:tcW w:w="43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 </w:t>
            </w:r>
          </w:p>
        </w:tc>
        <w:tc>
          <w:tcPr>
            <w:tcW w:w="4667"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31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Hver warrant giver ret til tegning af én ordinær aktie á nominelt DKK 1,00 i selskabet til en tegningspris på DKK 1 pr. aktie à nominelt kr. 1.</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2.14</w:t>
            </w:r>
          </w:p>
        </w:tc>
        <w:tc>
          <w:tcPr>
            <w:tcW w:w="46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warrant confers the right to subscribe for one ordinary share of nominal DKK 1.00 in the company at a subscription price of DKK 1 per share of nominal DKK 1.</w:t>
            </w:r>
          </w:p>
        </w:tc>
      </w:tr>
      <w:tr>
        <w:trPr/>
        <w:tc>
          <w:tcPr>
            <w:tcW w:w="545" w:type="dxa"/>
            <w:tcBorders/>
            <w:vAlign w:val="center"/>
          </w:tcPr>
          <w:p>
            <w:pPr>
              <w:pStyle w:val="TableContents"/>
              <w:bidi w:val="0"/>
              <w:spacing w:before="0" w:after="283"/>
              <w:jc w:val="both"/>
              <w:rPr/>
            </w:pPr>
            <w:r>
              <w:rPr/>
              <w:t> </w:t>
            </w:r>
          </w:p>
        </w:tc>
        <w:tc>
          <w:tcPr>
            <w:tcW w:w="43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 </w:t>
            </w:r>
          </w:p>
        </w:tc>
        <w:tc>
          <w:tcPr>
            <w:tcW w:w="4667"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31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2.15</w:t>
            </w:r>
          </w:p>
        </w:tc>
        <w:tc>
          <w:tcPr>
            <w:tcW w:w="46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warrants and subsequent subscription of shares by exercise of the warrants:</w:t>
            </w:r>
          </w:p>
        </w:tc>
      </w:tr>
      <w:tr>
        <w:trPr/>
        <w:tc>
          <w:tcPr>
            <w:tcW w:w="545" w:type="dxa"/>
            <w:tcBorders/>
            <w:vAlign w:val="center"/>
          </w:tcPr>
          <w:p>
            <w:pPr>
              <w:pStyle w:val="TableContents"/>
              <w:bidi w:val="0"/>
              <w:spacing w:before="0" w:after="283"/>
              <w:jc w:val="both"/>
              <w:rPr/>
            </w:pPr>
            <w:r>
              <w:rPr/>
              <w:t> </w:t>
            </w:r>
          </w:p>
        </w:tc>
        <w:tc>
          <w:tcPr>
            <w:tcW w:w="43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 </w:t>
            </w:r>
          </w:p>
        </w:tc>
        <w:tc>
          <w:tcPr>
            <w:tcW w:w="4667"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31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 mindste og det højeste beløb, hvormed aktiekapitalen skal kunne forhøjes på baggrund af de udstedte warrants, udgør henholdsvis nominelt DKK 1 og DKK 1.400.000.</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6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minimum and the maximum nominal amount of the capital increase(s) that can be subscribed for on the basis of the warrants is DKK 1 and DKK 1,400,000, respectively.</w:t>
            </w:r>
          </w:p>
        </w:tc>
      </w:tr>
      <w:tr>
        <w:trPr/>
        <w:tc>
          <w:tcPr>
            <w:tcW w:w="545" w:type="dxa"/>
            <w:tcBorders/>
            <w:vAlign w:val="center"/>
          </w:tcPr>
          <w:p>
            <w:pPr>
              <w:pStyle w:val="TableContents"/>
              <w:bidi w:val="0"/>
              <w:spacing w:before="0" w:after="283"/>
              <w:jc w:val="both"/>
              <w:rPr/>
            </w:pPr>
            <w:r>
              <w:rPr/>
              <w:t> </w:t>
            </w:r>
          </w:p>
        </w:tc>
        <w:tc>
          <w:tcPr>
            <w:tcW w:w="43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 </w:t>
            </w:r>
          </w:p>
        </w:tc>
        <w:tc>
          <w:tcPr>
            <w:tcW w:w="4667"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31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Tegningskursen for kapitalforhøjelsen er fastsat til DKK 1 pr. aktie á nominelt DKK 1.</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6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will be made at a subscription price of DKK 1.00 per share of nominal DKK 1.00.</w:t>
            </w:r>
          </w:p>
        </w:tc>
      </w:tr>
      <w:tr>
        <w:trPr/>
        <w:tc>
          <w:tcPr>
            <w:tcW w:w="545" w:type="dxa"/>
            <w:tcBorders/>
            <w:vAlign w:val="center"/>
          </w:tcPr>
          <w:p>
            <w:pPr>
              <w:pStyle w:val="TableContents"/>
              <w:bidi w:val="0"/>
              <w:spacing w:before="0" w:after="283"/>
              <w:jc w:val="both"/>
              <w:rPr/>
            </w:pPr>
            <w:r>
              <w:rPr/>
              <w:t> </w:t>
            </w:r>
          </w:p>
        </w:tc>
        <w:tc>
          <w:tcPr>
            <w:tcW w:w="43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 </w:t>
            </w:r>
          </w:p>
        </w:tc>
        <w:tc>
          <w:tcPr>
            <w:tcW w:w="4667"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3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10.000 (ekskl. moms).</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6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costs in connection with the capital increase to be borne by the company are approx. DKK 10,000 (excluding VAT).</w:t>
            </w:r>
          </w:p>
        </w:tc>
      </w:tr>
      <w:tr>
        <w:trPr/>
        <w:tc>
          <w:tcPr>
            <w:tcW w:w="545" w:type="dxa"/>
            <w:tcBorders/>
            <w:vAlign w:val="center"/>
          </w:tcPr>
          <w:p>
            <w:pPr>
              <w:pStyle w:val="TableContents"/>
              <w:bidi w:val="0"/>
              <w:spacing w:before="0" w:after="283"/>
              <w:jc w:val="both"/>
              <w:rPr/>
            </w:pPr>
            <w:r>
              <w:rPr/>
              <w:t> </w:t>
            </w:r>
          </w:p>
        </w:tc>
        <w:tc>
          <w:tcPr>
            <w:tcW w:w="43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 </w:t>
            </w:r>
          </w:p>
        </w:tc>
        <w:tc>
          <w:tcPr>
            <w:tcW w:w="4667"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31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Øvrige vilkår for de udstedte warrants, og den senere tegning af aktier ved udnyttelse af disse warrants, fremgår af vedtægternes bilag 10.</w:t>
            </w:r>
          </w:p>
        </w:tc>
        <w:tc>
          <w:tcPr>
            <w:tcW w:w="60"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 </w:t>
            </w:r>
          </w:p>
        </w:tc>
        <w:tc>
          <w:tcPr>
            <w:tcW w:w="46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Additional terms and conditions applicable to the granted warrants and subsequent subscription of shares by exercise of the warrants are set forth in </w:t>
            </w:r>
            <w:r>
              <w:rPr>
                <w:rFonts w:ascii="Times New Roman;Times;Serif" w:hAnsi="Times New Roman;Times;Serif"/>
                <w:sz w:val="20"/>
              </w:rPr>
              <w:t>appendix 10 to the articles of association.</w:t>
            </w:r>
          </w:p>
        </w:tc>
      </w:tr>
    </w:tbl>
    <w:p>
      <w:pPr>
        <w:pStyle w:val="TextBody"/>
        <w:bidi w:val="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545"/>
        <w:gridCol w:w="4401"/>
        <w:gridCol w:w="60"/>
        <w:gridCol w:w="530"/>
        <w:gridCol w:w="4669"/>
      </w:tblGrid>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2.11.4</w:t>
            </w:r>
          </w:p>
        </w:tc>
        <w:tc>
          <w:tcPr>
            <w:tcW w:w="44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bemyndigelse fra generalforsamlingen i vedtægternes punkt 2.11 har bestyrelsen den 30. januar 2025 tildelt og udstedt i alt 99.934.000 warrants og truffet beslutning om den til disse warrants hørende forhøjelse af selskabets aktiekapital. Warrants udstedes i øvrigt på de i bilag 11 angivne vilkår.</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2.11.4</w:t>
            </w:r>
          </w:p>
        </w:tc>
        <w:tc>
          <w:tcPr>
            <w:tcW w:w="466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Pursuant to the authorization from the general meeting set out in article 2.11 of the articles of association the board of directors has on 30 January 2025 granted and issued 99,934,000 warrants and resolved to carry out the increase of the company's share capital relating to the warrants. The warrants are issued on the terms and conditions set out in appendix 11.</w:t>
            </w:r>
          </w:p>
        </w:tc>
      </w:tr>
      <w:tr>
        <w:trPr/>
        <w:tc>
          <w:tcPr>
            <w:tcW w:w="545" w:type="dxa"/>
            <w:tcBorders/>
            <w:vAlign w:val="center"/>
          </w:tcPr>
          <w:p>
            <w:pPr>
              <w:pStyle w:val="TableContents"/>
              <w:bidi w:val="0"/>
              <w:spacing w:before="0" w:after="283"/>
              <w:jc w:val="both"/>
              <w:rPr/>
            </w:pPr>
            <w:r>
              <w:rPr/>
              <w:t> </w:t>
            </w:r>
          </w:p>
        </w:tc>
        <w:tc>
          <w:tcPr>
            <w:tcW w:w="440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669"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4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Hver warrant giver ret til tegning af én ordinær aktie á nominelt DKK 0,25 i selskabet til en tegningspris på USD 0,0542 omregnet til DKK til den officielle vekselkurs mellem DKK/USD, som er gældende på udnyttelsesdagen, dog minimum DKK 0,25 pr. aktie à nominelt kr. 0,25.</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6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warrant confers the right to subscribe for one ordinary share of nominal DKK 0.25 in the company at a subscription price of USD 0,0542 converted into DKK using the official exchange rate between DKK and USD on the exercise day, provided, however, minimum DKK 0.25 per share with a nominal value of DKK 0.25.</w:t>
            </w:r>
          </w:p>
        </w:tc>
      </w:tr>
      <w:tr>
        <w:trPr/>
        <w:tc>
          <w:tcPr>
            <w:tcW w:w="545" w:type="dxa"/>
            <w:tcBorders/>
            <w:vAlign w:val="center"/>
          </w:tcPr>
          <w:p>
            <w:pPr>
              <w:pStyle w:val="TableContents"/>
              <w:bidi w:val="0"/>
              <w:spacing w:before="0" w:after="283"/>
              <w:jc w:val="both"/>
              <w:rPr/>
            </w:pPr>
            <w:r>
              <w:rPr/>
              <w:t> </w:t>
            </w:r>
          </w:p>
        </w:tc>
        <w:tc>
          <w:tcPr>
            <w:tcW w:w="440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669"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40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Tegningsprisen for 48.883.500 warrants er i vedtægterne ved bestyrelsesbeslutning af 9. april 2025 konverteret fra USD til DKK således at:</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66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price for 48,883,500 warrants in the articles of association is pursuant to board resolution dated 9 April 2025 converted from USD to DKK such that:</w:t>
            </w:r>
          </w:p>
        </w:tc>
      </w:tr>
    </w:tbl>
    <w:p>
      <w:pPr>
        <w:pStyle w:val="TextBody"/>
        <w:bidi w:val="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95"/>
        <w:gridCol w:w="5188"/>
        <w:gridCol w:w="60"/>
        <w:gridCol w:w="80"/>
        <w:gridCol w:w="4782"/>
      </w:tblGrid>
      <w:tr>
        <w:trPr/>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1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tegningsprisen konverteres fra USD 0,0542 til DKK 0,38 (afrundet) pr. nominelt DKK 0,25 aktie for 38.883.500 warrants,</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8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price is converted from USD 0.0542 to DKK 0.38 (rounded) per nominal DKK 0.25 share for 38,883,500 warrants;</w:t>
            </w:r>
          </w:p>
        </w:tc>
      </w:tr>
      <w:tr>
        <w:trPr/>
        <w:tc>
          <w:tcPr>
            <w:tcW w:w="95" w:type="dxa"/>
            <w:tcBorders/>
            <w:vAlign w:val="center"/>
          </w:tcPr>
          <w:p>
            <w:pPr>
              <w:pStyle w:val="TableContents"/>
              <w:bidi w:val="0"/>
              <w:spacing w:before="0" w:after="283"/>
              <w:jc w:val="both"/>
              <w:rPr/>
            </w:pPr>
            <w:r>
              <w:rPr/>
              <w:t> </w:t>
            </w:r>
          </w:p>
        </w:tc>
        <w:tc>
          <w:tcPr>
            <w:tcW w:w="518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782"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1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tegningsprisen konverteres fra USD 0,0542 til DKK 0,39 (afrundet) pr. nominelt DKK 0,25 aktie for 7.500.000 warrants, og</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8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price is converted from USD 0.0542 to DKK 0.39 (rounded) per nominal DKK 0.25 share for 7,500,000 warrants; and</w:t>
            </w:r>
          </w:p>
        </w:tc>
      </w:tr>
      <w:tr>
        <w:trPr/>
        <w:tc>
          <w:tcPr>
            <w:tcW w:w="95" w:type="dxa"/>
            <w:tcBorders/>
            <w:vAlign w:val="center"/>
          </w:tcPr>
          <w:p>
            <w:pPr>
              <w:pStyle w:val="TableContents"/>
              <w:bidi w:val="0"/>
              <w:spacing w:before="0" w:after="283"/>
              <w:jc w:val="both"/>
              <w:rPr/>
            </w:pPr>
            <w:r>
              <w:rPr/>
              <w:t> </w:t>
            </w:r>
          </w:p>
        </w:tc>
        <w:tc>
          <w:tcPr>
            <w:tcW w:w="518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782"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1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tegningsprisen konverteres fra USD 0,0542 til DKK 0,37 (afrundet) pr. nominelt DKK 0,25 aktie for 2.500.000 warrants.</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8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price is converted from USD 0.0542 to DKK 0.37 (rounded) per nominal DKK 0.25 share for 2,500,000 warrants.</w:t>
            </w:r>
          </w:p>
        </w:tc>
      </w:tr>
      <w:tr>
        <w:trPr/>
        <w:tc>
          <w:tcPr>
            <w:tcW w:w="95" w:type="dxa"/>
            <w:tcBorders/>
            <w:vAlign w:val="center"/>
          </w:tcPr>
          <w:p>
            <w:pPr>
              <w:pStyle w:val="TableContents"/>
              <w:bidi w:val="0"/>
              <w:spacing w:before="0" w:after="283"/>
              <w:jc w:val="both"/>
              <w:rPr/>
            </w:pPr>
            <w:r>
              <w:rPr/>
              <w:t> </w:t>
            </w:r>
          </w:p>
        </w:tc>
        <w:tc>
          <w:tcPr>
            <w:tcW w:w="518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782"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pPr>
            <w:r>
              <w:rPr/>
              <w:t> </w:t>
            </w:r>
          </w:p>
        </w:tc>
        <w:tc>
          <w:tcPr>
            <w:tcW w:w="51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7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reference to the Danish Companies Act, the following terms and conditions shall apply in connection with the issue of the warrants and subsequent subscription of shares by exercise of the warrants:</w:t>
            </w:r>
          </w:p>
        </w:tc>
      </w:tr>
      <w:tr>
        <w:trPr/>
        <w:tc>
          <w:tcPr>
            <w:tcW w:w="95" w:type="dxa"/>
            <w:tcBorders/>
            <w:vAlign w:val="center"/>
          </w:tcPr>
          <w:p>
            <w:pPr>
              <w:pStyle w:val="TableContents"/>
              <w:bidi w:val="0"/>
              <w:spacing w:before="0" w:after="283"/>
              <w:jc w:val="both"/>
              <w:rPr/>
            </w:pPr>
            <w:r>
              <w:rPr/>
              <w:t> </w:t>
            </w:r>
          </w:p>
        </w:tc>
        <w:tc>
          <w:tcPr>
            <w:tcW w:w="518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782"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1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 mindste og det højeste beløb, hvormed aktiekapitalen skal kunne forhøjes på baggrund af de udstedte warrants, udgør henholdsvis nominelt DKK 0,25 og DKK 24.983.500.</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8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minimum and the maximum nominal amount of the capital increase(s) that can be subscribed for on the basis of the warrants is DKK 0.25 and DKK 24,983,500, respectively.</w:t>
            </w:r>
          </w:p>
        </w:tc>
      </w:tr>
      <w:tr>
        <w:trPr/>
        <w:tc>
          <w:tcPr>
            <w:tcW w:w="95" w:type="dxa"/>
            <w:tcBorders/>
            <w:vAlign w:val="center"/>
          </w:tcPr>
          <w:p>
            <w:pPr>
              <w:pStyle w:val="TableContents"/>
              <w:bidi w:val="0"/>
              <w:spacing w:before="0" w:after="283"/>
              <w:jc w:val="both"/>
              <w:rPr/>
            </w:pPr>
            <w:r>
              <w:rPr/>
              <w:t> </w:t>
            </w:r>
          </w:p>
        </w:tc>
        <w:tc>
          <w:tcPr>
            <w:tcW w:w="518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782"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1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Tegningskursen for kapitalforhøjelsen er fastsat til USD 0,0542 pr. aktie á nominelt DKK 0,25 omregnet til DKK til den officielle vekselkurs mellem DKK/USD som er gældende på udnyttelsesdagen, dog minimum DKK 0,25 pr. aktie à nominelt kr. 0,25.</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8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will be made at a subscription price of USD 0.0542 per share of nominal DKK 0.25 converted into DKK using the official exchange rate between DKK and USD on the exercise day, however, minimum DKK 0.25 per share with a nominal value of DKK 0.25.</w:t>
            </w:r>
          </w:p>
        </w:tc>
      </w:tr>
      <w:tr>
        <w:trPr/>
        <w:tc>
          <w:tcPr>
            <w:tcW w:w="95" w:type="dxa"/>
            <w:tcBorders/>
            <w:vAlign w:val="center"/>
          </w:tcPr>
          <w:p>
            <w:pPr>
              <w:pStyle w:val="TableContents"/>
              <w:bidi w:val="0"/>
              <w:spacing w:before="0" w:after="283"/>
              <w:jc w:val="both"/>
              <w:rPr/>
            </w:pPr>
            <w:r>
              <w:rPr/>
              <w:t> </w:t>
            </w:r>
          </w:p>
        </w:tc>
        <w:tc>
          <w:tcPr>
            <w:tcW w:w="518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pPr>
            <w:r>
              <w:rPr/>
              <w:t> </w:t>
            </w:r>
          </w:p>
        </w:tc>
        <w:tc>
          <w:tcPr>
            <w:tcW w:w="4782" w:type="dxa"/>
            <w:tcBorders/>
            <w:vAlign w:val="center"/>
          </w:tcPr>
          <w:p>
            <w:pPr>
              <w:pStyle w:val="TableContents"/>
              <w:bidi w:val="0"/>
              <w:spacing w:before="0" w:after="283"/>
              <w:jc w:val="both"/>
              <w:rPr/>
            </w:pPr>
            <w:r>
              <w:rPr/>
              <w:t> </w:t>
            </w:r>
          </w:p>
        </w:tc>
      </w:tr>
      <w:tr>
        <w:trPr/>
        <w:tc>
          <w:tcPr>
            <w:tcW w:w="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1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Tegningskursen for 48.883.500 warrants er i vedtægterne ved bestyrelsesbeslutning af 9. april 2025 konverteret fra USD til DKK således at:</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82" w:type="dxa"/>
            <w:tcBorders/>
            <w:vAlign w:val="center"/>
          </w:tcPr>
          <w:p>
            <w:pPr>
              <w:pStyle w:val="TableContents"/>
              <w:bidi w:val="0"/>
              <w:spacing w:before="0" w:after="283"/>
              <w:jc w:val="both"/>
              <w:rPr/>
            </w:pPr>
            <w:r>
              <w:rPr>
                <w:rFonts w:ascii="Times New Roman;Times;Serif" w:hAnsi="Times New Roman;Times;Serif"/>
                <w:sz w:val="20"/>
              </w:rPr>
              <w:t xml:space="preserve">The subscription price for 48,883,500 warrants in the articles of association is pursuant to board resolution dated 9 April 2025 converted from USD to DKK such </w:t>
            </w:r>
            <w:r>
              <w:rPr>
                <w:rFonts w:ascii="Times New Roman;Times;Serif" w:hAnsi="Times New Roman;Times;Serif"/>
              </w:rPr>
              <w:t>that:</w:t>
            </w:r>
          </w:p>
        </w:tc>
      </w:tr>
    </w:tbl>
    <w:p>
      <w:pPr>
        <w:pStyle w:val="TextBody"/>
        <w:bidi w:val="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695"/>
        <w:gridCol w:w="4389"/>
        <w:gridCol w:w="60"/>
        <w:gridCol w:w="680"/>
        <w:gridCol w:w="4381"/>
      </w:tblGrid>
      <w:tr>
        <w:trPr/>
        <w:tc>
          <w:tcPr>
            <w:tcW w:w="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3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tegningskursen konverteres fra USD 0,0542 til DKK 0,38 (afrundet) pr. nominelt DKK 0,25 aktie for 38.883.500 warrants,</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3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price is converted from USD 0.0542 to DKK 0.38 (rounded) per nominal DKK 0.25 share for 38,883,500 warrants;:</w:t>
            </w:r>
          </w:p>
        </w:tc>
      </w:tr>
      <w:tr>
        <w:trPr/>
        <w:tc>
          <w:tcPr>
            <w:tcW w:w="695" w:type="dxa"/>
            <w:tcBorders/>
            <w:vAlign w:val="center"/>
          </w:tcPr>
          <w:p>
            <w:pPr>
              <w:pStyle w:val="TableContents"/>
              <w:bidi w:val="0"/>
              <w:spacing w:before="0" w:after="283"/>
              <w:jc w:val="both"/>
              <w:rPr/>
            </w:pPr>
            <w:r>
              <w:rPr/>
              <w:t> </w:t>
            </w:r>
          </w:p>
        </w:tc>
        <w:tc>
          <w:tcPr>
            <w:tcW w:w="43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pPr>
            <w:r>
              <w:rPr/>
              <w:t> </w:t>
            </w:r>
          </w:p>
        </w:tc>
        <w:tc>
          <w:tcPr>
            <w:tcW w:w="4381"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3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tegningskursen konverteres fra USD 0,0542 til DKK 0,39 (afrundet) pr. nominelt DKK 0,25 aktie for 7.500.000 warrants, og</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3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price is converted from USD 0.0542 to DKK 0.39 (rounded) per nominal DKK 0.25 share for 7,500,000 warrants, and</w:t>
            </w:r>
          </w:p>
        </w:tc>
      </w:tr>
      <w:tr>
        <w:trPr/>
        <w:tc>
          <w:tcPr>
            <w:tcW w:w="695" w:type="dxa"/>
            <w:tcBorders/>
            <w:vAlign w:val="center"/>
          </w:tcPr>
          <w:p>
            <w:pPr>
              <w:pStyle w:val="TableContents"/>
              <w:bidi w:val="0"/>
              <w:spacing w:before="0" w:after="283"/>
              <w:jc w:val="both"/>
              <w:rPr/>
            </w:pPr>
            <w:r>
              <w:rPr/>
              <w:t> </w:t>
            </w:r>
          </w:p>
        </w:tc>
        <w:tc>
          <w:tcPr>
            <w:tcW w:w="43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pPr>
            <w:r>
              <w:rPr/>
              <w:t> </w:t>
            </w:r>
          </w:p>
        </w:tc>
        <w:tc>
          <w:tcPr>
            <w:tcW w:w="4381"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3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tegningskursen konverteres fra USD 0,0542 til DKK 0,37 (afrundet) pr. nominelt DKK 0,25 aktie for 2.500.000 warrants.</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3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price is converted from USD 0.0542 to DKK 0.37 (rounded) per nominal DKK 0.25 share for 2,500,000 warrants.</w:t>
            </w:r>
          </w:p>
        </w:tc>
      </w:tr>
      <w:tr>
        <w:trPr/>
        <w:tc>
          <w:tcPr>
            <w:tcW w:w="695" w:type="dxa"/>
            <w:tcBorders/>
            <w:vAlign w:val="center"/>
          </w:tcPr>
          <w:p>
            <w:pPr>
              <w:pStyle w:val="TableContents"/>
              <w:bidi w:val="0"/>
              <w:spacing w:before="0" w:after="283"/>
              <w:jc w:val="both"/>
              <w:rPr/>
            </w:pPr>
            <w:r>
              <w:rPr/>
              <w:t> </w:t>
            </w:r>
          </w:p>
        </w:tc>
        <w:tc>
          <w:tcPr>
            <w:tcW w:w="43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pPr>
            <w:r>
              <w:rPr/>
              <w:t> </w:t>
            </w:r>
          </w:p>
        </w:tc>
        <w:tc>
          <w:tcPr>
            <w:tcW w:w="4381"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3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100.000 (ekskl. moms).</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3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costs in connection with the capital increase to be borne by the company are approx. DKK 100,000 (excluding VAT).</w:t>
            </w:r>
          </w:p>
        </w:tc>
      </w:tr>
      <w:tr>
        <w:trPr/>
        <w:tc>
          <w:tcPr>
            <w:tcW w:w="695" w:type="dxa"/>
            <w:tcBorders/>
            <w:vAlign w:val="center"/>
          </w:tcPr>
          <w:p>
            <w:pPr>
              <w:pStyle w:val="TableContents"/>
              <w:bidi w:val="0"/>
              <w:spacing w:before="0" w:after="283"/>
              <w:jc w:val="both"/>
              <w:rPr/>
            </w:pPr>
            <w:r>
              <w:rPr/>
              <w:t> </w:t>
            </w:r>
          </w:p>
        </w:tc>
        <w:tc>
          <w:tcPr>
            <w:tcW w:w="43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pPr>
            <w:r>
              <w:rPr/>
              <w:t> </w:t>
            </w:r>
          </w:p>
        </w:tc>
        <w:tc>
          <w:tcPr>
            <w:tcW w:w="4381"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both"/>
              <w:rPr/>
            </w:pPr>
            <w:r>
              <w:rPr/>
              <w:t> </w:t>
            </w:r>
          </w:p>
        </w:tc>
        <w:tc>
          <w:tcPr>
            <w:tcW w:w="43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Øvrige vilkår for de udstedte warrants og den senere tegning af aktier ved udnyttelse af disse warrants fremgår af vedtægternes bilag 11.</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pPr>
            <w:r>
              <w:rPr/>
              <w:t> </w:t>
            </w:r>
          </w:p>
        </w:tc>
        <w:tc>
          <w:tcPr>
            <w:tcW w:w="43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Additional terms and conditions applicable to the granted warrants and subsequent subscription of shares by exercise of the warrants are set forth in appendix 11 to the articles of association.</w:t>
            </w:r>
          </w:p>
        </w:tc>
      </w:tr>
      <w:tr>
        <w:trPr/>
        <w:tc>
          <w:tcPr>
            <w:tcW w:w="695" w:type="dxa"/>
            <w:tcBorders/>
            <w:vAlign w:val="center"/>
          </w:tcPr>
          <w:p>
            <w:pPr>
              <w:pStyle w:val="TableContents"/>
              <w:bidi w:val="0"/>
              <w:spacing w:before="0" w:after="283"/>
              <w:jc w:val="both"/>
              <w:rPr/>
            </w:pPr>
            <w:r>
              <w:rPr/>
              <w:t> </w:t>
            </w:r>
          </w:p>
        </w:tc>
        <w:tc>
          <w:tcPr>
            <w:tcW w:w="43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pPr>
            <w:r>
              <w:rPr/>
              <w:t> </w:t>
            </w:r>
          </w:p>
        </w:tc>
        <w:tc>
          <w:tcPr>
            <w:tcW w:w="4381"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both"/>
              <w:rPr/>
            </w:pPr>
            <w:r>
              <w:rPr/>
              <w:t> </w:t>
            </w:r>
          </w:p>
        </w:tc>
        <w:tc>
          <w:tcPr>
            <w:tcW w:w="43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Bemyndigelsen i pkt. 2.11 er herefter nedsat til nominelt DKK 59.921.500.</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pPr>
            <w:r>
              <w:rPr/>
              <w:t> </w:t>
            </w:r>
          </w:p>
        </w:tc>
        <w:tc>
          <w:tcPr>
            <w:tcW w:w="43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authorization in article 2.11 is hereafter reduced to 59,921,500.</w:t>
            </w:r>
          </w:p>
        </w:tc>
      </w:tr>
      <w:tr>
        <w:trPr/>
        <w:tc>
          <w:tcPr>
            <w:tcW w:w="695" w:type="dxa"/>
            <w:tcBorders/>
            <w:vAlign w:val="center"/>
          </w:tcPr>
          <w:p>
            <w:pPr>
              <w:pStyle w:val="TableContents"/>
              <w:bidi w:val="0"/>
              <w:spacing w:before="0" w:after="283"/>
              <w:jc w:val="both"/>
              <w:rPr/>
            </w:pPr>
            <w:r>
              <w:rPr/>
              <w:t> </w:t>
            </w:r>
          </w:p>
        </w:tc>
        <w:tc>
          <w:tcPr>
            <w:tcW w:w="43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pPr>
            <w:r>
              <w:rPr/>
              <w:t> </w:t>
            </w:r>
          </w:p>
        </w:tc>
        <w:tc>
          <w:tcPr>
            <w:tcW w:w="4381"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both"/>
              <w:rPr/>
            </w:pPr>
            <w:r>
              <w:rPr/>
              <w:t> </w:t>
            </w:r>
          </w:p>
        </w:tc>
        <w:tc>
          <w:tcPr>
            <w:tcW w:w="43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Ved generalforsamlingsbeslutning den 30. april 2025 er bemyndigelsen i pkt. 2.11 forhøjet fra nominelt DKK 59.921.500 til nominelt DKK 100.000.000.</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pPr>
            <w:r>
              <w:rPr/>
              <w:t> </w:t>
            </w:r>
          </w:p>
        </w:tc>
        <w:tc>
          <w:tcPr>
            <w:tcW w:w="43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resolution of the general meeting on 30 April 2025 the authorization has been increased from nominal DKK 59,921,500 to nominal DKK 100,000,000.</w:t>
            </w:r>
          </w:p>
        </w:tc>
      </w:tr>
      <w:tr>
        <w:trPr/>
        <w:tc>
          <w:tcPr>
            <w:tcW w:w="695" w:type="dxa"/>
            <w:tcBorders/>
            <w:vAlign w:val="center"/>
          </w:tcPr>
          <w:p>
            <w:pPr>
              <w:pStyle w:val="TableContents"/>
              <w:bidi w:val="0"/>
              <w:spacing w:before="0" w:after="283"/>
              <w:jc w:val="both"/>
              <w:rPr/>
            </w:pPr>
            <w:r>
              <w:rPr/>
              <w:t> </w:t>
            </w:r>
          </w:p>
        </w:tc>
        <w:tc>
          <w:tcPr>
            <w:tcW w:w="43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pPr>
            <w:r>
              <w:rPr/>
              <w:t> </w:t>
            </w:r>
          </w:p>
        </w:tc>
        <w:tc>
          <w:tcPr>
            <w:tcW w:w="4381"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2.11.4.1</w:t>
            </w:r>
          </w:p>
        </w:tc>
        <w:tc>
          <w:tcPr>
            <w:tcW w:w="43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henhold til bestyrelsens tildeling og udstedelse af warrants i punkt 2.11.4 er 52.782.150 warrants udnyttet pr. 4. november 2025.</w:t>
            </w:r>
          </w:p>
        </w:tc>
        <w:tc>
          <w:tcPr>
            <w:tcW w:w="60" w:type="dxa"/>
            <w:tcBorders/>
            <w:vAlign w:val="center"/>
          </w:tcPr>
          <w:p>
            <w:pPr>
              <w:pStyle w:val="TableContents"/>
              <w:bidi w:val="0"/>
              <w:spacing w:before="0" w:after="283"/>
              <w:jc w:val="both"/>
              <w:rPr/>
            </w:pPr>
            <w:r>
              <w:rPr/>
              <w:t> </w:t>
            </w:r>
          </w:p>
        </w:tc>
        <w:tc>
          <w:tcPr>
            <w:tcW w:w="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2.11.4.1</w:t>
            </w:r>
          </w:p>
        </w:tc>
        <w:tc>
          <w:tcPr>
            <w:tcW w:w="43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According to the board of directors’ grant and issue of warrants in article 2.11.4 52,782,150 warrants have been exercised per 4 November 2025.</w:t>
            </w:r>
          </w:p>
        </w:tc>
      </w:tr>
    </w:tbl>
    <w:p>
      <w:pPr>
        <w:pStyle w:val="TextBody"/>
        <w:bidi w:val="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545"/>
        <w:gridCol w:w="4510"/>
        <w:gridCol w:w="60"/>
        <w:gridCol w:w="530"/>
        <w:gridCol w:w="4560"/>
      </w:tblGrid>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2.11.5</w:t>
            </w:r>
          </w:p>
        </w:tc>
        <w:tc>
          <w:tcPr>
            <w:tcW w:w="4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bemyndigelse fra generalforsamlingen i vedtægternes punkt 2.11 har bestyrelsen den 11. juli 2025 tildelt og udstedt i alt 38.450.000 warrants og truffet beslutning om den til disse warrants hørende forhøjelse af selskabets aktiekapital. Warrants udstedes i øvrigt på de i bilag 12 angivne vilkår.</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2.11.5</w:t>
            </w:r>
          </w:p>
        </w:tc>
        <w:tc>
          <w:tcPr>
            <w:tcW w:w="4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authorization from the general meeting set out in article 2.11 of the articles of association, the board of directors has on 11 July 2025 granted and issued 38,450,000 warrants and resolved to carry out the increase of the company's share capital relating to the warrants. The warrants are issued on the terms and conditions set out in appendix 12.</w:t>
            </w:r>
          </w:p>
        </w:tc>
      </w:tr>
      <w:tr>
        <w:trPr/>
        <w:tc>
          <w:tcPr>
            <w:tcW w:w="545" w:type="dxa"/>
            <w:tcBorders/>
            <w:vAlign w:val="center"/>
          </w:tcPr>
          <w:p>
            <w:pPr>
              <w:pStyle w:val="TableContents"/>
              <w:bidi w:val="0"/>
              <w:spacing w:before="0" w:after="283"/>
              <w:jc w:val="both"/>
              <w:rPr/>
            </w:pPr>
            <w:r>
              <w:rPr/>
              <w:t> </w:t>
            </w:r>
          </w:p>
        </w:tc>
        <w:tc>
          <w:tcPr>
            <w:tcW w:w="4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560"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5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Hver warrant giver ret til tegning af én ordinær aktie á nominelt DKK 0,25 i selskabet til en tegningspris på DKK 0,25 pr. aktie à nominelt DKK 0,25.</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warrant confers the right to subscribe for one ordinary share of nominal DKK 0.25 in the Company by payment of an exercise price of DKK 0.25 per share with a nominal value of DKK 0.25.</w:t>
            </w:r>
          </w:p>
        </w:tc>
      </w:tr>
      <w:tr>
        <w:trPr/>
        <w:tc>
          <w:tcPr>
            <w:tcW w:w="545" w:type="dxa"/>
            <w:tcBorders/>
            <w:vAlign w:val="center"/>
          </w:tcPr>
          <w:p>
            <w:pPr>
              <w:pStyle w:val="TableContents"/>
              <w:bidi w:val="0"/>
              <w:spacing w:before="0" w:after="283"/>
              <w:jc w:val="both"/>
              <w:rPr/>
            </w:pPr>
            <w:r>
              <w:rPr/>
              <w:t> </w:t>
            </w:r>
          </w:p>
        </w:tc>
        <w:tc>
          <w:tcPr>
            <w:tcW w:w="4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560"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5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henvisning til selskabslovens regler skal følgende vilkår være gældende i forbindelse med udstedelse af ovennævnte warrants og senere tegning af aktier ved udnyttelse af disse warrants:</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5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With reference to the Danish Companies Act, the following terms and conditions shall apply in connection with the issue of the warrants and subsequent subscription of shares by exercise of the warrants:</w:t>
            </w:r>
          </w:p>
        </w:tc>
      </w:tr>
      <w:tr>
        <w:trPr/>
        <w:tc>
          <w:tcPr>
            <w:tcW w:w="545" w:type="dxa"/>
            <w:tcBorders/>
            <w:vAlign w:val="center"/>
          </w:tcPr>
          <w:p>
            <w:pPr>
              <w:pStyle w:val="TableContents"/>
              <w:bidi w:val="0"/>
              <w:spacing w:before="0" w:after="283"/>
              <w:jc w:val="both"/>
              <w:rPr/>
            </w:pPr>
            <w:r>
              <w:rPr/>
              <w:t> </w:t>
            </w:r>
          </w:p>
        </w:tc>
        <w:tc>
          <w:tcPr>
            <w:tcW w:w="4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560"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mindste og det højeste beløb, hvormed aktiekapitalen skal kunne forhøjes på baggrund af de udstedte warrants, udgør henholdsvis nominelt DKK 0,25 og DKK 9.612.500. Størstebeløbet på nominelt DKK 9.612.500 kan reguleres i overensstemmelse med warrantvilkårene.</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minimum and the maximum nominal amount of the capital increase(s) that can be subscribed for on the basis of the warrants is DKK 0.25 and DKK 9,612,500, respectively. The maximum amount of nominally DKK 9,612,500 may be regulated in accordance with the warrant terms.</w:t>
            </w:r>
          </w:p>
        </w:tc>
      </w:tr>
      <w:tr>
        <w:trPr/>
        <w:tc>
          <w:tcPr>
            <w:tcW w:w="545" w:type="dxa"/>
            <w:tcBorders/>
            <w:vAlign w:val="center"/>
          </w:tcPr>
          <w:p>
            <w:pPr>
              <w:pStyle w:val="TableContents"/>
              <w:bidi w:val="0"/>
              <w:spacing w:before="0" w:after="283"/>
              <w:jc w:val="both"/>
              <w:rPr/>
            </w:pPr>
            <w:r>
              <w:rPr/>
              <w:t> </w:t>
            </w:r>
          </w:p>
        </w:tc>
        <w:tc>
          <w:tcPr>
            <w:tcW w:w="4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560"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Tegningskursen for kapitalforhøjelsen er fastsat til DKK 0,25 pr. aktie á nominelt DKK 0,25. Der kan ikke ske delvis indbetaling.</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subscription price for the capital increase is DKK 0.25 per share of nominal DKK 0.25. Partial payment of the share capital shall not be possible.</w:t>
            </w:r>
          </w:p>
        </w:tc>
      </w:tr>
      <w:tr>
        <w:trPr/>
        <w:tc>
          <w:tcPr>
            <w:tcW w:w="545" w:type="dxa"/>
            <w:tcBorders/>
            <w:vAlign w:val="center"/>
          </w:tcPr>
          <w:p>
            <w:pPr>
              <w:pStyle w:val="TableContents"/>
              <w:bidi w:val="0"/>
              <w:spacing w:before="0" w:after="283"/>
              <w:jc w:val="both"/>
              <w:rPr/>
            </w:pPr>
            <w:r>
              <w:rPr/>
              <w:t> </w:t>
            </w:r>
          </w:p>
        </w:tc>
        <w:tc>
          <w:tcPr>
            <w:tcW w:w="4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560"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anslåede omkostninger, der skal afholdes af selskabet ved kapitalforhøjelsen, udgør DKK 100.000 (ekskl. moms).</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5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costs in connection with the capital increase to be borne by the company are approx. DKK 100,000 (excluding VAT).</w:t>
            </w:r>
          </w:p>
        </w:tc>
      </w:tr>
      <w:tr>
        <w:trPr/>
        <w:tc>
          <w:tcPr>
            <w:tcW w:w="545" w:type="dxa"/>
            <w:tcBorders/>
            <w:vAlign w:val="center"/>
          </w:tcPr>
          <w:p>
            <w:pPr>
              <w:pStyle w:val="TableContents"/>
              <w:bidi w:val="0"/>
              <w:spacing w:before="0" w:after="283"/>
              <w:jc w:val="both"/>
              <w:rPr/>
            </w:pPr>
            <w:r>
              <w:rPr/>
              <w:t> </w:t>
            </w:r>
          </w:p>
        </w:tc>
        <w:tc>
          <w:tcPr>
            <w:tcW w:w="4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560"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both"/>
              <w:rPr/>
            </w:pPr>
            <w:r>
              <w:rPr/>
              <w:t> </w:t>
            </w:r>
          </w:p>
        </w:tc>
        <w:tc>
          <w:tcPr>
            <w:tcW w:w="45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Øvrige vilkår for de udstedte warrants og tegning af aktier samt ved udnyttelse af disse warrants fremgår af vedtægternes bilag 12.</w:t>
            </w:r>
          </w:p>
        </w:tc>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pPr>
            <w:r>
              <w:rPr/>
              <w:t> </w:t>
            </w:r>
          </w:p>
        </w:tc>
        <w:tc>
          <w:tcPr>
            <w:tcW w:w="4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terms and conditions applicable to the granted warrants and subscription of shares as well as the exercise of the warrants are set forth in appendix 12 to the articles of association.</w:t>
            </w:r>
          </w:p>
        </w:tc>
      </w:tr>
    </w:tbl>
    <w:p>
      <w:pPr>
        <w:pStyle w:val="TextBody"/>
        <w:bidi w:val="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290"/>
        <w:gridCol w:w="4832"/>
        <w:gridCol w:w="60"/>
        <w:gridCol w:w="275"/>
        <w:gridCol w:w="4748"/>
      </w:tblGrid>
      <w:tr>
        <w:trPr/>
        <w:tc>
          <w:tcPr>
            <w:tcW w:w="290" w:type="dxa"/>
            <w:tcBorders/>
            <w:vAlign w:val="center"/>
          </w:tcPr>
          <w:p>
            <w:pPr>
              <w:pStyle w:val="TableContents"/>
              <w:bidi w:val="0"/>
              <w:spacing w:before="0" w:after="283"/>
              <w:jc w:val="both"/>
              <w:rPr/>
            </w:pPr>
            <w:r>
              <w:rPr/>
              <w:t> </w:t>
            </w:r>
          </w:p>
        </w:tc>
        <w:tc>
          <w:tcPr>
            <w:tcW w:w="48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Bemyndigelsen i pkt. 2.11 er herefter nedsat til nominelt DKK 90.387.500.</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authorization in article 2.11 is hereafter reduced to nominal DKK 90,387,500.</w:t>
            </w:r>
          </w:p>
        </w:tc>
      </w:tr>
      <w:tr>
        <w:trPr/>
        <w:tc>
          <w:tcPr>
            <w:tcW w:w="290" w:type="dxa"/>
            <w:tcBorders/>
            <w:vAlign w:val="center"/>
          </w:tcPr>
          <w:p>
            <w:pPr>
              <w:pStyle w:val="TableContents"/>
              <w:bidi w:val="0"/>
              <w:spacing w:before="0" w:after="283"/>
              <w:jc w:val="both"/>
              <w:rPr/>
            </w:pPr>
            <w:r>
              <w:rPr/>
              <w:t> </w:t>
            </w:r>
          </w:p>
        </w:tc>
        <w:tc>
          <w:tcPr>
            <w:tcW w:w="483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48"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w:t>
            </w:r>
          </w:p>
        </w:tc>
        <w:tc>
          <w:tcPr>
            <w:tcW w:w="4832"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Bemyndigelse til bestyrelsen – aktieudstedelse</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w:t>
            </w:r>
          </w:p>
        </w:tc>
        <w:tc>
          <w:tcPr>
            <w:tcW w:w="4748"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Authorization to the board of directors – issue of shares</w:t>
            </w:r>
          </w:p>
        </w:tc>
      </w:tr>
      <w:tr>
        <w:trPr/>
        <w:tc>
          <w:tcPr>
            <w:tcW w:w="290" w:type="dxa"/>
            <w:tcBorders/>
            <w:vAlign w:val="center"/>
          </w:tcPr>
          <w:p>
            <w:pPr>
              <w:pStyle w:val="TableContents"/>
              <w:bidi w:val="0"/>
              <w:spacing w:before="0" w:after="283"/>
              <w:jc w:val="both"/>
              <w:rPr/>
            </w:pPr>
            <w:r>
              <w:rPr/>
              <w:t> </w:t>
            </w:r>
          </w:p>
        </w:tc>
        <w:tc>
          <w:tcPr>
            <w:tcW w:w="483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48"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w:t>
            </w:r>
          </w:p>
        </w:tc>
        <w:tc>
          <w:tcPr>
            <w:tcW w:w="48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Bestyrelsen er i perioden indtil 1. maj 2027 bemyndiget til ad én eller flere gange at forhøje selskabets aktiekapital ved udstedelse af nye aktier med op til nominelt DKK 100.000.000 uden fortegningsret for selskabets aktionærer. Kapitalforhøjelser i henhold til denne bemyndigelse skal af bestyrelsen gennemføres ved kontantindskud. Aktierne kan udstedes til markedskurs eller til en af bestyrelsen fastsat favørkurs i forhold til den noterede kurs på ADS’erne. Bestyrelsen er bemyndiget til at foretage de fornødne vedtægtsændringer i tilfælde af udnyttelse af bemyndigelsen til at forhøje aktiekapitalen og til at foranledige sådanne aktiers deponering hos en depotbank og samtidig udstedelse af American Depositary Shares på basis af disse.</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w:t>
            </w:r>
          </w:p>
        </w:tc>
        <w:tc>
          <w:tcPr>
            <w:tcW w:w="47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of directors is until 1 May 2027 authorized at one or more times to increase the company’s share capital by up to nominal DKK 100,000,000 without pre-emptive subscription rights for the company’s shareholders. Capital increases according to this authorization must be carried out by the board of directors by way of cash contributions. The shares may be issued at market price or at a discount to the listed price of the ADSs as determined by the board of directors. The board of directors is authorized to make the required amendments to the articles of association if the authorization to increase the share capital is used and to cause such shares to be deposited with a depositary bank and the simultaneous issuance of American Depositary Shares representing such shares.</w:t>
            </w:r>
          </w:p>
        </w:tc>
      </w:tr>
    </w:tbl>
    <w:p>
      <w:pPr>
        <w:pStyle w:val="TextBody"/>
        <w:bidi w:val="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5571"/>
        <w:gridCol w:w="60"/>
        <w:gridCol w:w="60"/>
        <w:gridCol w:w="4439"/>
      </w:tblGrid>
      <w:tr>
        <w:trPr/>
        <w:tc>
          <w:tcPr>
            <w:tcW w:w="75" w:type="dxa"/>
            <w:tcBorders/>
            <w:vAlign w:val="center"/>
          </w:tcPr>
          <w:p>
            <w:pPr>
              <w:pStyle w:val="TableContents"/>
              <w:bidi w:val="0"/>
              <w:spacing w:before="0" w:after="283"/>
              <w:jc w:val="both"/>
              <w:rPr/>
            </w:pPr>
            <w:r>
              <w:rPr/>
              <w:t> </w:t>
            </w:r>
          </w:p>
        </w:tc>
        <w:tc>
          <w:tcPr>
            <w:tcW w:w="55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For aktier som udstedes i henhold til pkt. 3.1 skal gælde, at de skal være ikke-omsætningspapirer og skal lyde på navn og noteres på navn i selskabets ejerbog. De nye aktier skal være underlagt samme indskrænkninger i aktiernes </w:t>
            </w:r>
            <w:r>
              <w:rPr>
                <w:rFonts w:ascii="Times New Roman;Times;Serif" w:hAnsi="Times New Roman;Times;Serif"/>
                <w:sz w:val="20"/>
              </w:rPr>
              <w:t>omsættelighed, som er gældende for selskabets øvrige aktier, og ingen aktionær skal være forpligtet til lade sine aktier indløse helt eller delvist. Der kan ikke ske delvis indbetaling. Aktierne skal i det hele være ligestillet med den bestående aktiekapital og skal ikke tilhøre en særlig aktieklasse. Aktierne giver ret til udbytte og andre rettigheder i selskabet på tidspunktet for registreringen af kapitalforhøjelsen i Erhvervsstyrelsen.</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shares issued pursuant to this section 3.1 the following shall apply: The new shares shall be non-negotiable instruments issued in the name of the holder and registered in the name of the holder in the company's register of shareholders. The new shares shall be subject to the same restrictions on transferability as the existing shares of the company and no shareholder shall be obliged to have the shares redeemed fully or partly. No partial payment is allowed. The shares shall be with the same rights as the existing share capital and shall not belong to a specific share class. The shares shall give rights to dividends and other rights in the company from the time of registration of the capital increase with the Danish Business Authority.</w:t>
            </w:r>
          </w:p>
        </w:tc>
      </w:tr>
      <w:tr>
        <w:trPr/>
        <w:tc>
          <w:tcPr>
            <w:tcW w:w="75" w:type="dxa"/>
            <w:tcBorders/>
            <w:vAlign w:val="center"/>
          </w:tcPr>
          <w:p>
            <w:pPr>
              <w:pStyle w:val="TableContents"/>
              <w:bidi w:val="0"/>
              <w:spacing w:before="0" w:after="283"/>
              <w:jc w:val="both"/>
              <w:rPr/>
            </w:pPr>
            <w:r>
              <w:rPr/>
              <w:t> </w:t>
            </w:r>
          </w:p>
        </w:tc>
        <w:tc>
          <w:tcPr>
            <w:tcW w:w="557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Ved generalforsamlingsbeslutning den 30. april 2025 er bemyndigelsen forhøjet fra nominelt DKK 18.017.977,50 til nominelt DKK 100.000.000.</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resolution of the general meeting on 30 April 2025 the authorization has been increased from nominal DKK 18,017,977.50 to nominal DKK 100,000,000.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40"/>
        <w:gridCol w:w="4684"/>
        <w:gridCol w:w="60"/>
        <w:gridCol w:w="425"/>
        <w:gridCol w:w="4596"/>
      </w:tblGrid>
      <w:tr>
        <w:trPr/>
        <w:tc>
          <w:tcPr>
            <w:tcW w:w="440" w:type="dxa"/>
            <w:tcBorders/>
            <w:vAlign w:val="center"/>
          </w:tcPr>
          <w:p>
            <w:pPr>
              <w:pStyle w:val="TableContents"/>
              <w:bidi w:val="0"/>
              <w:spacing w:before="0" w:after="283"/>
              <w:jc w:val="both"/>
              <w:rPr>
                <w:b w:val="false"/>
                <w:sz w:val="20"/>
              </w:rPr>
            </w:pPr>
            <w:r>
              <w:rPr>
                <w:b w:val="false"/>
                <w:sz w:val="20"/>
              </w:rPr>
              <w:t>3.1.1</w:t>
            </w:r>
          </w:p>
        </w:tc>
        <w:tc>
          <w:tcPr>
            <w:tcW w:w="4684" w:type="dxa"/>
            <w:tcBorders/>
            <w:vAlign w:val="center"/>
          </w:tcPr>
          <w:p>
            <w:pPr>
              <w:pStyle w:val="TableContents"/>
              <w:bidi w:val="0"/>
              <w:spacing w:before="0" w:after="283"/>
              <w:jc w:val="both"/>
              <w:rPr>
                <w:b w:val="false"/>
                <w:sz w:val="20"/>
              </w:rPr>
            </w:pPr>
            <w:r>
              <w:rPr>
                <w:b w:val="false"/>
                <w:sz w:val="20"/>
              </w:rPr>
              <w:t>Den 26. september 2025 traf bestyrelsen beslutning om at udnytte den i punkt 3.1 indeholdte bemyndigelse til at forhøje aktiekapitalen med i alt nominelt kr. 12.725.000 ved udstedelse af 50.900.000 aktier a nominelt kr. 0.25.</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b w:val="false"/>
                <w:sz w:val="20"/>
              </w:rPr>
            </w:pPr>
            <w:r>
              <w:rPr>
                <w:b w:val="false"/>
                <w:sz w:val="20"/>
              </w:rPr>
              <w:t>3.1.1</w:t>
            </w:r>
          </w:p>
        </w:tc>
        <w:tc>
          <w:tcPr>
            <w:tcW w:w="4596" w:type="dxa"/>
            <w:tcBorders/>
            <w:vAlign w:val="center"/>
          </w:tcPr>
          <w:p>
            <w:pPr>
              <w:pStyle w:val="TableContents"/>
              <w:bidi w:val="0"/>
              <w:spacing w:before="0" w:after="283"/>
              <w:jc w:val="both"/>
              <w:rPr>
                <w:b w:val="false"/>
                <w:sz w:val="20"/>
              </w:rPr>
            </w:pPr>
            <w:r>
              <w:rPr>
                <w:b w:val="false"/>
                <w:sz w:val="20"/>
              </w:rPr>
              <w:t>On 26 September 2025 the board of directors resolved to exercise the authorization under article 3.1 hereof to increase the share capital with nominal DKK 12,725,000 by issuing 50,900,000 shares of nominal DKK 0.25 each.</w:t>
            </w:r>
          </w:p>
        </w:tc>
      </w:tr>
      <w:tr>
        <w:trPr/>
        <w:tc>
          <w:tcPr>
            <w:tcW w:w="440" w:type="dxa"/>
            <w:tcBorders/>
            <w:vAlign w:val="center"/>
          </w:tcPr>
          <w:p>
            <w:pPr>
              <w:pStyle w:val="TableContents"/>
              <w:bidi w:val="0"/>
              <w:spacing w:before="0" w:after="283"/>
              <w:jc w:val="both"/>
              <w:rPr/>
            </w:pPr>
            <w:r>
              <w:rPr/>
              <w:t> </w:t>
            </w:r>
          </w:p>
        </w:tc>
        <w:tc>
          <w:tcPr>
            <w:tcW w:w="468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4596"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4684" w:type="dxa"/>
            <w:tcBorders/>
            <w:vAlign w:val="center"/>
          </w:tcPr>
          <w:p>
            <w:pPr>
              <w:pStyle w:val="TableContents"/>
              <w:bidi w:val="0"/>
              <w:spacing w:before="0" w:after="283"/>
              <w:jc w:val="both"/>
              <w:rPr>
                <w:sz w:val="20"/>
              </w:rPr>
            </w:pPr>
            <w:r>
              <w:rPr>
                <w:sz w:val="20"/>
              </w:rPr>
              <w:t>Bemyndigelsen i punkt 3.1 er herefter nedsat til nominelt DKK 87.275.000.</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4596" w:type="dxa"/>
            <w:tcBorders/>
            <w:vAlign w:val="center"/>
          </w:tcPr>
          <w:p>
            <w:pPr>
              <w:pStyle w:val="TableContents"/>
              <w:bidi w:val="0"/>
              <w:spacing w:before="0" w:after="283"/>
              <w:jc w:val="both"/>
              <w:rPr>
                <w:sz w:val="20"/>
              </w:rPr>
            </w:pPr>
            <w:r>
              <w:rPr>
                <w:sz w:val="20"/>
              </w:rPr>
              <w:t>The authorization in article 3.1 is hereafter reduced to nominal DKK 87,275,000.</w:t>
            </w:r>
          </w:p>
        </w:tc>
      </w:tr>
      <w:tr>
        <w:trPr/>
        <w:tc>
          <w:tcPr>
            <w:tcW w:w="440" w:type="dxa"/>
            <w:tcBorders/>
            <w:vAlign w:val="center"/>
          </w:tcPr>
          <w:p>
            <w:pPr>
              <w:pStyle w:val="TableContents"/>
              <w:bidi w:val="0"/>
              <w:spacing w:before="0" w:after="283"/>
              <w:jc w:val="both"/>
              <w:rPr/>
            </w:pPr>
            <w:r>
              <w:rPr/>
              <w:t> </w:t>
            </w:r>
          </w:p>
        </w:tc>
        <w:tc>
          <w:tcPr>
            <w:tcW w:w="468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4596"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sz w:val="20"/>
              </w:rPr>
            </w:pPr>
            <w:r>
              <w:rPr>
                <w:sz w:val="20"/>
              </w:rPr>
              <w:t>3.1.2</w:t>
            </w:r>
          </w:p>
        </w:tc>
        <w:tc>
          <w:tcPr>
            <w:tcW w:w="4684" w:type="dxa"/>
            <w:tcBorders/>
            <w:vAlign w:val="center"/>
          </w:tcPr>
          <w:p>
            <w:pPr>
              <w:pStyle w:val="TableContents"/>
              <w:bidi w:val="0"/>
              <w:spacing w:before="0" w:after="283"/>
              <w:jc w:val="both"/>
              <w:rPr>
                <w:sz w:val="20"/>
              </w:rPr>
            </w:pPr>
            <w:r>
              <w:rPr>
                <w:sz w:val="20"/>
              </w:rPr>
              <w:t>Den 20. august 2026 traf bestyrelsen beslutning om at udnytte den i punkt 3.1 indeholdte bemyndigelse til at forhøje aktiekapitalen med i alt nominelt kr. 6.312.562,50 ved udstedelse af 25.250.250 aktier a nominelt kr. 0.25.</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sz w:val="20"/>
              </w:rPr>
            </w:pPr>
            <w:r>
              <w:rPr>
                <w:sz w:val="20"/>
              </w:rPr>
              <w:t>3.1.2</w:t>
            </w:r>
          </w:p>
        </w:tc>
        <w:tc>
          <w:tcPr>
            <w:tcW w:w="4596" w:type="dxa"/>
            <w:tcBorders/>
            <w:vAlign w:val="center"/>
          </w:tcPr>
          <w:p>
            <w:pPr>
              <w:pStyle w:val="TableContents"/>
              <w:bidi w:val="0"/>
              <w:spacing w:before="0" w:after="283"/>
              <w:jc w:val="both"/>
              <w:rPr>
                <w:sz w:val="20"/>
              </w:rPr>
            </w:pPr>
            <w:r>
              <w:rPr>
                <w:sz w:val="20"/>
              </w:rPr>
              <w:t>On 20 August 2026 the board of directors resolved to exercise the authorization under article 3.1 hereof to increase the share capital with nominal DKK 6,312,562.50 by issuing 25,250,250 shares of nominal DKK 0.25 each.</w:t>
            </w:r>
          </w:p>
        </w:tc>
      </w:tr>
      <w:tr>
        <w:trPr/>
        <w:tc>
          <w:tcPr>
            <w:tcW w:w="440" w:type="dxa"/>
            <w:tcBorders/>
            <w:vAlign w:val="center"/>
          </w:tcPr>
          <w:p>
            <w:pPr>
              <w:pStyle w:val="TableContents"/>
              <w:bidi w:val="0"/>
              <w:spacing w:before="0" w:after="283"/>
              <w:jc w:val="both"/>
              <w:rPr/>
            </w:pPr>
            <w:r>
              <w:rPr/>
              <w:t> </w:t>
            </w:r>
          </w:p>
        </w:tc>
        <w:tc>
          <w:tcPr>
            <w:tcW w:w="468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4596"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4684" w:type="dxa"/>
            <w:tcBorders/>
            <w:vAlign w:val="center"/>
          </w:tcPr>
          <w:p>
            <w:pPr>
              <w:pStyle w:val="TableContents"/>
              <w:bidi w:val="0"/>
              <w:spacing w:before="0" w:after="283"/>
              <w:jc w:val="both"/>
              <w:rPr>
                <w:sz w:val="20"/>
              </w:rPr>
            </w:pPr>
            <w:r>
              <w:rPr>
                <w:sz w:val="20"/>
              </w:rPr>
              <w:t>Bemyndigelsen i punkt 3.1 er herefter nedsat til nominelt DKK 80.962.437,50.</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4596" w:type="dxa"/>
            <w:tcBorders/>
            <w:vAlign w:val="center"/>
          </w:tcPr>
          <w:p>
            <w:pPr>
              <w:pStyle w:val="TableContents"/>
              <w:bidi w:val="0"/>
              <w:spacing w:before="0" w:after="283"/>
              <w:jc w:val="both"/>
              <w:rPr>
                <w:sz w:val="20"/>
              </w:rPr>
            </w:pPr>
            <w:r>
              <w:rPr>
                <w:sz w:val="20"/>
              </w:rPr>
              <w:t>The authorization in article 3.1 is hereafter reduced to nominal DKK 80,962,437.50.</w:t>
            </w:r>
          </w:p>
        </w:tc>
      </w:tr>
      <w:tr>
        <w:trPr/>
        <w:tc>
          <w:tcPr>
            <w:tcW w:w="440" w:type="dxa"/>
            <w:tcBorders/>
            <w:vAlign w:val="center"/>
          </w:tcPr>
          <w:p>
            <w:pPr>
              <w:pStyle w:val="TableContents"/>
              <w:bidi w:val="0"/>
              <w:spacing w:before="0" w:after="283"/>
              <w:jc w:val="both"/>
              <w:rPr/>
            </w:pPr>
            <w:r>
              <w:rPr/>
              <w:t> </w:t>
            </w:r>
          </w:p>
        </w:tc>
        <w:tc>
          <w:tcPr>
            <w:tcW w:w="468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4596"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sz w:val="20"/>
              </w:rPr>
            </w:pPr>
            <w:r>
              <w:rPr>
                <w:sz w:val="20"/>
              </w:rPr>
              <w:t>3.1.3</w:t>
            </w:r>
          </w:p>
        </w:tc>
        <w:tc>
          <w:tcPr>
            <w:tcW w:w="4684" w:type="dxa"/>
            <w:tcBorders/>
            <w:vAlign w:val="center"/>
          </w:tcPr>
          <w:p>
            <w:pPr>
              <w:pStyle w:val="TableContents"/>
              <w:bidi w:val="0"/>
              <w:spacing w:before="0" w:after="283"/>
              <w:jc w:val="both"/>
              <w:rPr>
                <w:sz w:val="20"/>
              </w:rPr>
            </w:pPr>
            <w:r>
              <w:rPr>
                <w:sz w:val="20"/>
              </w:rPr>
              <w:t>Den 21. august 2026 traf bestyrelsen beslutning om at udnytte den i punkt 3.1 indeholdte bemyndigelse til at forhøje aktiekapitalen med i alt nominelt kr. 368.050 ved udstedelse af 1.472.200 aktier a nominelt kr. 0.25.</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sz w:val="20"/>
              </w:rPr>
            </w:pPr>
            <w:r>
              <w:rPr>
                <w:sz w:val="20"/>
              </w:rPr>
              <w:t>3.1.3</w:t>
            </w:r>
          </w:p>
        </w:tc>
        <w:tc>
          <w:tcPr>
            <w:tcW w:w="4596" w:type="dxa"/>
            <w:tcBorders/>
            <w:vAlign w:val="center"/>
          </w:tcPr>
          <w:p>
            <w:pPr>
              <w:pStyle w:val="TableContents"/>
              <w:bidi w:val="0"/>
              <w:spacing w:before="0" w:after="283"/>
              <w:jc w:val="both"/>
              <w:rPr>
                <w:sz w:val="20"/>
              </w:rPr>
            </w:pPr>
            <w:r>
              <w:rPr>
                <w:sz w:val="20"/>
              </w:rPr>
              <w:t>On 21 August 2026 the board of directors resolved to exercise the authorization under article 3.1 hereof to increase the share capital with nominal DKK 368,050 by issuing 1,472,200 shares of nominal DKK 0.25 each.</w:t>
            </w:r>
          </w:p>
        </w:tc>
      </w:tr>
      <w:tr>
        <w:trPr/>
        <w:tc>
          <w:tcPr>
            <w:tcW w:w="440" w:type="dxa"/>
            <w:tcBorders/>
            <w:vAlign w:val="center"/>
          </w:tcPr>
          <w:p>
            <w:pPr>
              <w:pStyle w:val="TableContents"/>
              <w:bidi w:val="0"/>
              <w:spacing w:before="0" w:after="283"/>
              <w:jc w:val="both"/>
              <w:rPr/>
            </w:pPr>
            <w:r>
              <w:rPr/>
              <w:t> </w:t>
            </w:r>
          </w:p>
        </w:tc>
        <w:tc>
          <w:tcPr>
            <w:tcW w:w="468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4596"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4684" w:type="dxa"/>
            <w:tcBorders/>
            <w:vAlign w:val="center"/>
          </w:tcPr>
          <w:p>
            <w:pPr>
              <w:pStyle w:val="TableContents"/>
              <w:bidi w:val="0"/>
              <w:spacing w:before="0" w:after="283"/>
              <w:jc w:val="both"/>
              <w:rPr>
                <w:sz w:val="20"/>
              </w:rPr>
            </w:pPr>
            <w:r>
              <w:rPr>
                <w:sz w:val="20"/>
              </w:rPr>
              <w:t>Bemyndigelsen i punkt 3.1 er herefter nedsat til nominelt DKK 80.594.387,50.</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4596" w:type="dxa"/>
            <w:tcBorders/>
            <w:vAlign w:val="center"/>
          </w:tcPr>
          <w:p>
            <w:pPr>
              <w:pStyle w:val="TableContents"/>
              <w:bidi w:val="0"/>
              <w:spacing w:before="0" w:after="283"/>
              <w:jc w:val="both"/>
              <w:rPr>
                <w:sz w:val="20"/>
              </w:rPr>
            </w:pPr>
            <w:r>
              <w:rPr>
                <w:sz w:val="20"/>
              </w:rPr>
              <w:t>The authorization in article 3.1 is hereafter reduced to nominal DKK 80,594,387.50.</w:t>
            </w:r>
          </w:p>
        </w:tc>
      </w:tr>
      <w:tr>
        <w:trPr/>
        <w:tc>
          <w:tcPr>
            <w:tcW w:w="440" w:type="dxa"/>
            <w:tcBorders/>
            <w:vAlign w:val="center"/>
          </w:tcPr>
          <w:p>
            <w:pPr>
              <w:pStyle w:val="TableContents"/>
              <w:bidi w:val="0"/>
              <w:spacing w:before="0" w:after="283"/>
              <w:jc w:val="both"/>
              <w:rPr/>
            </w:pPr>
            <w:r>
              <w:rPr/>
              <w:t> </w:t>
            </w:r>
          </w:p>
        </w:tc>
        <w:tc>
          <w:tcPr>
            <w:tcW w:w="468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4596"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sz w:val="20"/>
              </w:rPr>
            </w:pPr>
            <w:r>
              <w:rPr>
                <w:sz w:val="20"/>
              </w:rPr>
              <w:t>3.1.4</w:t>
            </w:r>
          </w:p>
        </w:tc>
        <w:tc>
          <w:tcPr>
            <w:tcW w:w="4684" w:type="dxa"/>
            <w:tcBorders/>
            <w:vAlign w:val="center"/>
          </w:tcPr>
          <w:p>
            <w:pPr>
              <w:pStyle w:val="TableContents"/>
              <w:bidi w:val="0"/>
              <w:spacing w:before="0" w:after="283"/>
              <w:jc w:val="both"/>
              <w:rPr>
                <w:sz w:val="20"/>
              </w:rPr>
            </w:pPr>
            <w:r>
              <w:rPr>
                <w:sz w:val="20"/>
              </w:rPr>
              <w:t>Den 24. august 2026 traf bestyrelsen beslutning om at udnytte den i punkt 3.1 indeholdte bemyndigelse til at forhøje aktiekapitalen med i alt nominelt kr. 1.835.237,50 ved udstedelse af 7.340.950 aktier a nominelt kr. 0.25.</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sz w:val="20"/>
              </w:rPr>
            </w:pPr>
            <w:r>
              <w:rPr>
                <w:sz w:val="20"/>
              </w:rPr>
              <w:t>3.1.4</w:t>
            </w:r>
          </w:p>
        </w:tc>
        <w:tc>
          <w:tcPr>
            <w:tcW w:w="4596" w:type="dxa"/>
            <w:tcBorders/>
            <w:vAlign w:val="center"/>
          </w:tcPr>
          <w:p>
            <w:pPr>
              <w:pStyle w:val="TableContents"/>
              <w:bidi w:val="0"/>
              <w:spacing w:before="0" w:after="283"/>
              <w:jc w:val="both"/>
              <w:rPr>
                <w:sz w:val="20"/>
              </w:rPr>
            </w:pPr>
            <w:r>
              <w:rPr>
                <w:sz w:val="20"/>
              </w:rPr>
              <w:t>On 24 August 2026 the board of directors resolved to exercise the authorization under article 3.1 hereof to increase the share capital with nominal DKK 1,835,237.50 by issuing 7,340,950 shares of nominal DKK 0.25 each.</w:t>
            </w:r>
          </w:p>
        </w:tc>
      </w:tr>
      <w:tr>
        <w:trPr/>
        <w:tc>
          <w:tcPr>
            <w:tcW w:w="440" w:type="dxa"/>
            <w:tcBorders/>
            <w:vAlign w:val="center"/>
          </w:tcPr>
          <w:p>
            <w:pPr>
              <w:pStyle w:val="TableContents"/>
              <w:bidi w:val="0"/>
              <w:spacing w:before="0" w:after="283"/>
              <w:jc w:val="both"/>
              <w:rPr/>
            </w:pPr>
            <w:r>
              <w:rPr/>
              <w:t> </w:t>
            </w:r>
          </w:p>
        </w:tc>
        <w:tc>
          <w:tcPr>
            <w:tcW w:w="468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4596"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both"/>
              <w:rPr/>
            </w:pPr>
            <w:r>
              <w:rPr/>
              <w:t> </w:t>
            </w:r>
          </w:p>
        </w:tc>
        <w:tc>
          <w:tcPr>
            <w:tcW w:w="4684" w:type="dxa"/>
            <w:tcBorders/>
            <w:vAlign w:val="center"/>
          </w:tcPr>
          <w:p>
            <w:pPr>
              <w:pStyle w:val="TableContents"/>
              <w:bidi w:val="0"/>
              <w:spacing w:before="0" w:after="283"/>
              <w:jc w:val="both"/>
              <w:rPr>
                <w:sz w:val="20"/>
              </w:rPr>
            </w:pPr>
            <w:r>
              <w:rPr>
                <w:sz w:val="20"/>
              </w:rPr>
              <w:t>Bemyndigelsen i punkt 3.1 er herefter nedsat til nominelt DKK 78.759.150.</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pPr>
            <w:r>
              <w:rPr/>
              <w:t> </w:t>
            </w:r>
          </w:p>
        </w:tc>
        <w:tc>
          <w:tcPr>
            <w:tcW w:w="4596" w:type="dxa"/>
            <w:tcBorders/>
            <w:vAlign w:val="center"/>
          </w:tcPr>
          <w:p>
            <w:pPr>
              <w:pStyle w:val="TableContents"/>
              <w:bidi w:val="0"/>
              <w:spacing w:before="0" w:after="283"/>
              <w:jc w:val="both"/>
              <w:rPr>
                <w:sz w:val="20"/>
              </w:rPr>
            </w:pPr>
            <w:r>
              <w:rPr>
                <w:sz w:val="20"/>
              </w:rPr>
              <w:t>The authorization in article 3.1 is hereafter reduced to nominal DKK 78,759,150.</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5180"/>
        <w:gridCol w:w="60"/>
        <w:gridCol w:w="275"/>
        <w:gridCol w:w="440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w:t>
            </w:r>
          </w:p>
        </w:tc>
        <w:tc>
          <w:tcPr>
            <w:tcW w:w="5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Bestyrelsen er i perioden indtil 3. januar 2026 bemyndiget til ad én eller flere gange at forhøje selskabets aktiekapital ved udstedelse af nye aktier med op til nominelt DKK 11.000.000 med fortegningsret for selskabets aktionærer. Kapitalforhøjelser i henhold til denne bemyndigelse skal af bestyrelsen gennemføres ved kontantindskud. Aktierne kan udstedes til markedskurs eller en favørkurs som fastsat af bestyrelsen. Ved generalforsamlingsbeslutning den 11. januar 2024 er bemyndigelsen forhøjet til nominelt DKK 11.000.000.</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of directors is until 3 January 2026 authorized at one or more times to increase the company's share capital by the issuance of new shares with up to nominal DKK 11,000,000 with pre-emptive subscription rights for the company's shareholders. Capital increases according to this authorization shall be carried out by the board of directors by way of cash contributions. The shares may be issued at market price or at a discount price as determined by the board of directors. By resolution of the general meeting on 11 January 2024 the authorization has been increased to nominal DKK 11,000,000.</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290"/>
        <w:gridCol w:w="5158"/>
        <w:gridCol w:w="60"/>
        <w:gridCol w:w="275"/>
        <w:gridCol w:w="4422"/>
      </w:tblGrid>
      <w:tr>
        <w:trPr/>
        <w:tc>
          <w:tcPr>
            <w:tcW w:w="290" w:type="dxa"/>
            <w:tcBorders/>
            <w:vAlign w:val="center"/>
          </w:tcPr>
          <w:p>
            <w:pPr>
              <w:pStyle w:val="TableContents"/>
              <w:bidi w:val="0"/>
              <w:spacing w:before="0" w:after="283"/>
              <w:jc w:val="both"/>
              <w:rPr/>
            </w:pPr>
            <w:r>
              <w:rPr/>
              <w:t> </w:t>
            </w:r>
          </w:p>
        </w:tc>
        <w:tc>
          <w:tcPr>
            <w:tcW w:w="51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 aktier som udstedes i henhold til pkt. 3.2 skal gælde, at de skal være ikke-omsætningspapirer og skal lyde på navn og noteres på navn i ejerbogen. De nye aktier skal være underlagt samme indskrænkninger i aktiernes omsættelighed, som er gældende for selskabets øvrige aktier, og ingen aktionær skal være forpligtet til lade sine aktier indløse helt eller delvist. Der kan ikke ske delvis indbetaling. Aktierne skal i det hele være ligestillet med den bestående aktiekapital og skal ikke tilhøre en særlig aktieklasse. Aktierne giver ret til udbytte og andre rettigheder i selskabet på tidspunktet for registreringen af kapitalforhøjelsen i Erhvervsstyrelsen.</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42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For shares issued pursuant to this section 3.2 the following shall apply: The new shares shall be non-negotiable </w:t>
            </w:r>
            <w:r>
              <w:rPr>
                <w:rFonts w:ascii="Times New Roman;Times;Serif" w:hAnsi="Times New Roman;Times;Serif"/>
                <w:sz w:val="20"/>
              </w:rPr>
              <w:t>instruments issued in the name of the holder and registered in the name of the holder in the company's register of shareholders. The shares shall be subject to the same restrictions on transferability as the existing shares of the Company and no shareholder shall be obliged to have the shares redeemed fully or partly. No partial payment is allowed. The shares shall be with the same rights as the existing share capital and shall not belong to a specific share class. The shares shall give rights to dividends and other rights in the company from the time of registration of the capital increase with the Danish Business Authority</w:t>
            </w:r>
          </w:p>
        </w:tc>
      </w:tr>
      <w:tr>
        <w:trPr/>
        <w:tc>
          <w:tcPr>
            <w:tcW w:w="290" w:type="dxa"/>
            <w:tcBorders/>
            <w:vAlign w:val="center"/>
          </w:tcPr>
          <w:p>
            <w:pPr>
              <w:pStyle w:val="TableContents"/>
              <w:bidi w:val="0"/>
              <w:spacing w:before="0" w:after="283"/>
              <w:jc w:val="both"/>
              <w:rPr/>
            </w:pPr>
            <w:r>
              <w:rPr/>
              <w:t> </w:t>
            </w:r>
          </w:p>
        </w:tc>
        <w:tc>
          <w:tcPr>
            <w:tcW w:w="515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422"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3.3</w:t>
            </w:r>
          </w:p>
        </w:tc>
        <w:tc>
          <w:tcPr>
            <w:tcW w:w="51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Bestyrelsen er i perioden indtil 15. april 2031 bemyndiget til ad én eller flere gange at optage lån mod udstedelse af konvertible gældsbreve, som giver ret til tegning af i alt op til nominelt DKK 73.500.000 uden fortegningsret for selskabets aktionærer. Konvertering skal ske til en kurs, der mindst svarer til markedskurs på tidspunktet for bestyrelsens beslutning om at udstede de konvertible gældsbreve. Aktier vil anses som værende udstedt til markedskurs, såfremt aktierne tegnes til +/-10 % af den noterede kurs på selskabets aktier på en relevant fondsbørs i Europa eller USA Lånene skal indbetales kontant. I øvrigt fastsætter bestyrelsen de nærmere vilkår for de konvertible gældsbreve, der udstedes i henhold til bemyndigelsen.</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3.3</w:t>
            </w:r>
          </w:p>
        </w:tc>
        <w:tc>
          <w:tcPr>
            <w:tcW w:w="44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of directors is until 15 April 2031 authorized at one or more times to obtain loans against issuance of convertible loan notes which give the right to subscribe for shares for a total of up to nominal value of DKK 73,500,000 without pre-emptive subscription rights for the company's shareholders. The conversion shall be carried out at a price that corresponds in aggregate to at least the market price at the time of the decision of the board of directors. Shares shall be considered issued at market price if the shares are issued at +/-10% of the listed price for the company’s shares on a relevant stock exchange in Europe or the USA. The loans shall be paid in cash. The terms and conditions for the convertible loan notes shall be determined by the board of directors.</w:t>
            </w:r>
          </w:p>
        </w:tc>
      </w:tr>
      <w:tr>
        <w:trPr/>
        <w:tc>
          <w:tcPr>
            <w:tcW w:w="290" w:type="dxa"/>
            <w:tcBorders/>
            <w:vAlign w:val="center"/>
          </w:tcPr>
          <w:p>
            <w:pPr>
              <w:pStyle w:val="TableContents"/>
              <w:bidi w:val="0"/>
              <w:spacing w:before="0" w:after="283"/>
              <w:jc w:val="both"/>
              <w:rPr/>
            </w:pPr>
            <w:r>
              <w:rPr/>
              <w:t> </w:t>
            </w:r>
          </w:p>
        </w:tc>
        <w:tc>
          <w:tcPr>
            <w:tcW w:w="515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422"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290"/>
        <w:gridCol w:w="5133"/>
        <w:gridCol w:w="60"/>
        <w:gridCol w:w="275"/>
        <w:gridCol w:w="4447"/>
      </w:tblGrid>
      <w:tr>
        <w:trPr/>
        <w:tc>
          <w:tcPr>
            <w:tcW w:w="290" w:type="dxa"/>
            <w:tcBorders/>
            <w:vAlign w:val="center"/>
          </w:tcPr>
          <w:p>
            <w:pPr>
              <w:pStyle w:val="TableContents"/>
              <w:bidi w:val="0"/>
              <w:spacing w:before="0" w:after="283"/>
              <w:jc w:val="both"/>
              <w:rPr/>
            </w:pPr>
            <w:r>
              <w:rPr/>
              <w:t> </w:t>
            </w:r>
          </w:p>
        </w:tc>
        <w:tc>
          <w:tcPr>
            <w:tcW w:w="513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Til gennemførelse af den til konvertering af de konvertible gældsbreve hørende </w:t>
            </w:r>
            <w:r>
              <w:rPr>
                <w:rFonts w:ascii="Times New Roman;Times;Serif" w:hAnsi="Times New Roman;Times;Serif"/>
                <w:sz w:val="20"/>
              </w:rPr>
              <w:t>kapitalforhøjelse bemyndiges bestyrelsen til i perioden indtil 15. april 2031 at forhøje selskabets aktiekapital ad én eller flere gange med op til i alt nominelt DKK 73.500.000 ved konvertering af de konvertible gældsbreve. Selskabets aktionærer skal ikke have fortegningsret til aktier, der udstedes ved konverteringen.</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4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As a consequence of the conversion of the convertible loan notes, the board of directors is authorized until 15 April 2031 to increase the share capital by a nominal value of up to DKK 73,500,000 by conversion of the convertible loan notes. The company's shareholders shall not have pre-emptive rights to subscribe for shares issued by conversion of the convertible loan notes. </w:t>
            </w:r>
          </w:p>
        </w:tc>
      </w:tr>
      <w:tr>
        <w:trPr/>
        <w:tc>
          <w:tcPr>
            <w:tcW w:w="290" w:type="dxa"/>
            <w:tcBorders/>
            <w:vAlign w:val="center"/>
          </w:tcPr>
          <w:p>
            <w:pPr>
              <w:pStyle w:val="TableContents"/>
              <w:bidi w:val="0"/>
              <w:spacing w:before="0" w:after="283"/>
              <w:jc w:val="both"/>
              <w:rPr/>
            </w:pPr>
            <w:r>
              <w:rPr/>
              <w:t> </w:t>
            </w:r>
          </w:p>
        </w:tc>
        <w:tc>
          <w:tcPr>
            <w:tcW w:w="513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447"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pPr>
            <w:r>
              <w:rPr/>
              <w:t> </w:t>
            </w:r>
          </w:p>
        </w:tc>
        <w:tc>
          <w:tcPr>
            <w:tcW w:w="51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aktier, som måtte blive tegnet ved konvertering af de konvertible gældsbreve, skal være ikke-omsætningspapirer og skal lyde på navn og noteres på navn i ejerbogen. De nye aktier skal være underlagt samme indskrænkninger i aktiernes omsættelighed, som er gældende for selskabets øvrige aktier, og ingen aktionær skal være forpligtet til at lade sine aktier indløse helt eller delvist. Der kan ikke ske delvis indbetaling. Aktierne skal i det hele være ligestillet med den bestående aktiekapital og skal ikke tilhøre en særlig aktieklasse. Aktierne giver ret til udbytte og andre rettigheder i selskabet på tidspunktet for registreringen af kapitalforhøjelsen i Erhvervsstyrelsen.</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4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issued based on convertible loan notes shall be non-negotiable instruments issued in the name of the holder and registered in the name of the holder in the company's register of shareholders. The shares shall be subject to the same restrictions on transferability as the existing shares of the Company and no shareholder shall be obliged to have the shares redeemed fully or partly. No partial payment is allowed. The shares shall be with the same rights as the existing share capital and shall not belong to a specific share class. The shares shall give rights to dividends and other rights in the company from the time of registration of the capital increase with the Danish Business Authority.</w:t>
            </w:r>
          </w:p>
        </w:tc>
      </w:tr>
      <w:tr>
        <w:trPr/>
        <w:tc>
          <w:tcPr>
            <w:tcW w:w="290" w:type="dxa"/>
            <w:tcBorders/>
            <w:vAlign w:val="center"/>
          </w:tcPr>
          <w:p>
            <w:pPr>
              <w:pStyle w:val="TableContents"/>
              <w:bidi w:val="0"/>
              <w:spacing w:before="0" w:after="283"/>
              <w:jc w:val="both"/>
              <w:rPr/>
            </w:pPr>
            <w:r>
              <w:rPr/>
              <w:t> </w:t>
            </w:r>
          </w:p>
        </w:tc>
        <w:tc>
          <w:tcPr>
            <w:tcW w:w="513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447"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w:t>
            </w:r>
          </w:p>
        </w:tc>
        <w:tc>
          <w:tcPr>
            <w:tcW w:w="513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Generalforsamlinger</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w:t>
            </w:r>
          </w:p>
        </w:tc>
        <w:tc>
          <w:tcPr>
            <w:tcW w:w="4447"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General meetings</w:t>
            </w:r>
          </w:p>
        </w:tc>
      </w:tr>
      <w:tr>
        <w:trPr/>
        <w:tc>
          <w:tcPr>
            <w:tcW w:w="290" w:type="dxa"/>
            <w:tcBorders/>
            <w:vAlign w:val="center"/>
          </w:tcPr>
          <w:p>
            <w:pPr>
              <w:pStyle w:val="TableContents"/>
              <w:bidi w:val="0"/>
              <w:spacing w:before="0" w:after="283"/>
              <w:jc w:val="both"/>
              <w:rPr/>
            </w:pPr>
            <w:r>
              <w:rPr/>
              <w:t> </w:t>
            </w:r>
          </w:p>
        </w:tc>
        <w:tc>
          <w:tcPr>
            <w:tcW w:w="513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447"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513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Generalforsamlingen indkaldes af bestyrelsen med mindst 2 ugers og højst 4 ugers varsel. Indkaldelsen offentliggøres på selskabets hjemmeside og sendes endvidere til alle i ejerbogen noterede aktionærer, som har fremsat begæring herom.</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44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meeting is convened by the board of directors with a notice of a minimum 2 weeks and a maximum 4 weeks. The convening notice shall be published on the company's website and sent to all shareholders recorded in the register of shareholders who have requested such notification.</w:t>
            </w:r>
          </w:p>
        </w:tc>
      </w:tr>
      <w:tr>
        <w:trPr/>
        <w:tc>
          <w:tcPr>
            <w:tcW w:w="290" w:type="dxa"/>
            <w:tcBorders/>
            <w:vAlign w:val="center"/>
          </w:tcPr>
          <w:p>
            <w:pPr>
              <w:pStyle w:val="TableContents"/>
              <w:bidi w:val="0"/>
              <w:spacing w:before="0" w:after="283"/>
              <w:jc w:val="both"/>
              <w:rPr/>
            </w:pPr>
            <w:r>
              <w:rPr/>
              <w:t> </w:t>
            </w:r>
          </w:p>
        </w:tc>
        <w:tc>
          <w:tcPr>
            <w:tcW w:w="513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447"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290"/>
        <w:gridCol w:w="4808"/>
        <w:gridCol w:w="60"/>
        <w:gridCol w:w="275"/>
        <w:gridCol w:w="4772"/>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480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Ordinære generalforsamlinger skal afholdes hvert år i så god tid, at den reviderede og godkendte årsrapport kan indsendes til Erhvervsstyrelsen, så den er modtaget i styrelsen inden 5 måneder efter regnskabsårets udløb.</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47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Annual General Meetings must be held each year in time for the audited and adopted annual report to be filed with the Danish Business Authority and received by the Authority within 5 months after expiry of the financial year.</w:t>
            </w:r>
          </w:p>
        </w:tc>
      </w:tr>
      <w:tr>
        <w:trPr/>
        <w:tc>
          <w:tcPr>
            <w:tcW w:w="290" w:type="dxa"/>
            <w:tcBorders/>
            <w:vAlign w:val="center"/>
          </w:tcPr>
          <w:p>
            <w:pPr>
              <w:pStyle w:val="TableContents"/>
              <w:bidi w:val="0"/>
              <w:spacing w:before="0" w:after="283"/>
              <w:jc w:val="both"/>
              <w:rPr/>
            </w:pPr>
            <w:r>
              <w:rPr/>
              <w:t> </w:t>
            </w:r>
          </w:p>
        </w:tc>
        <w:tc>
          <w:tcPr>
            <w:tcW w:w="480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72"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4.3</w:t>
            </w:r>
          </w:p>
        </w:tc>
        <w:tc>
          <w:tcPr>
            <w:tcW w:w="480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Ekstraordinær generalforsamling skal indkaldes senest 2 uger efter, at bestyrelsen, revisor eller kapitalejere, der ejer mindst 5% af selskabskapital, har forlangt det.</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4.3</w:t>
            </w:r>
          </w:p>
        </w:tc>
        <w:tc>
          <w:tcPr>
            <w:tcW w:w="47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Extraordinary General Meetings shall be convened no later than two weeks after the Board of Directors, the Company auditor or shareholders, owning at least 5% of the share capital, has demanded the holding of an Extraordinary General Meeting.</w:t>
            </w:r>
          </w:p>
        </w:tc>
      </w:tr>
      <w:tr>
        <w:trPr/>
        <w:tc>
          <w:tcPr>
            <w:tcW w:w="290" w:type="dxa"/>
            <w:tcBorders/>
            <w:vAlign w:val="center"/>
          </w:tcPr>
          <w:p>
            <w:pPr>
              <w:pStyle w:val="TableContents"/>
              <w:bidi w:val="0"/>
              <w:spacing w:before="0" w:after="283"/>
              <w:jc w:val="both"/>
              <w:rPr/>
            </w:pPr>
            <w:r>
              <w:rPr/>
              <w:t> </w:t>
            </w:r>
          </w:p>
        </w:tc>
        <w:tc>
          <w:tcPr>
            <w:tcW w:w="480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72"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4.4</w:t>
            </w:r>
          </w:p>
        </w:tc>
        <w:tc>
          <w:tcPr>
            <w:tcW w:w="480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Alle generalforsamlinger afholdes på selskabets hjemstedsadresse eller i Storkøbenhavn.</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4.4</w:t>
            </w:r>
          </w:p>
        </w:tc>
        <w:tc>
          <w:tcPr>
            <w:tcW w:w="47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General Meetings shall be held at the Company's home address or in Greater Copenhagen.</w:t>
            </w:r>
          </w:p>
        </w:tc>
      </w:tr>
      <w:tr>
        <w:trPr/>
        <w:tc>
          <w:tcPr>
            <w:tcW w:w="290" w:type="dxa"/>
            <w:tcBorders/>
            <w:vAlign w:val="center"/>
          </w:tcPr>
          <w:p>
            <w:pPr>
              <w:pStyle w:val="TableContents"/>
              <w:bidi w:val="0"/>
              <w:spacing w:before="0" w:after="283"/>
              <w:jc w:val="both"/>
              <w:rPr/>
            </w:pPr>
            <w:r>
              <w:rPr/>
              <w:t> </w:t>
            </w:r>
          </w:p>
        </w:tc>
        <w:tc>
          <w:tcPr>
            <w:tcW w:w="480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72"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4.5</w:t>
            </w:r>
          </w:p>
        </w:tc>
        <w:tc>
          <w:tcPr>
            <w:tcW w:w="48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Generalforsamlingen ledes af en af bestyrelsen udpeget dirigent. Over forhandlingerne på generalforsamlingen føres en protokol, der underskrives af dirigenten.</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4.5</w:t>
            </w:r>
          </w:p>
        </w:tc>
        <w:tc>
          <w:tcPr>
            <w:tcW w:w="47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chairman appointed by the board of directors shall preside over the proceedings at the general meeting. Minutes of the proceedings shall be signed by the chairman of the meeting.</w:t>
            </w:r>
          </w:p>
        </w:tc>
      </w:tr>
      <w:tr>
        <w:trPr/>
        <w:tc>
          <w:tcPr>
            <w:tcW w:w="290" w:type="dxa"/>
            <w:tcBorders/>
            <w:vAlign w:val="center"/>
          </w:tcPr>
          <w:p>
            <w:pPr>
              <w:pStyle w:val="TableContents"/>
              <w:bidi w:val="0"/>
              <w:spacing w:before="0" w:after="283"/>
              <w:jc w:val="both"/>
              <w:rPr/>
            </w:pPr>
            <w:r>
              <w:rPr/>
              <w:t> </w:t>
            </w:r>
          </w:p>
        </w:tc>
        <w:tc>
          <w:tcPr>
            <w:tcW w:w="480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72"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4.6</w:t>
            </w:r>
          </w:p>
        </w:tc>
        <w:tc>
          <w:tcPr>
            <w:tcW w:w="480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Dagsordenen for den ordinære generalforsamling skal omfatte:</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4.6</w:t>
            </w:r>
          </w:p>
        </w:tc>
        <w:tc>
          <w:tcPr>
            <w:tcW w:w="47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agenda for the Annual General Meeting shall include: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5"/>
        <w:gridCol w:w="5062"/>
        <w:gridCol w:w="60"/>
        <w:gridCol w:w="60"/>
        <w:gridCol w:w="305"/>
        <w:gridCol w:w="4338"/>
      </w:tblGrid>
      <w:tr>
        <w:trPr/>
        <w:tc>
          <w:tcPr>
            <w:tcW w:w="75"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w:t>
            </w:r>
          </w:p>
        </w:tc>
        <w:tc>
          <w:tcPr>
            <w:tcW w:w="50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Bestyrelsens beretning om selskabets virksomhed i det forløbne år</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w:t>
            </w:r>
          </w:p>
        </w:tc>
        <w:tc>
          <w:tcPr>
            <w:tcW w:w="43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Board of Director's report on the Company's activities in the past year;</w:t>
            </w:r>
          </w:p>
        </w:tc>
      </w:tr>
      <w:tr>
        <w:trPr/>
        <w:tc>
          <w:tcPr>
            <w:tcW w:w="75"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pPr>
            <w:r>
              <w:rPr/>
              <w:t> </w:t>
            </w:r>
          </w:p>
        </w:tc>
        <w:tc>
          <w:tcPr>
            <w:tcW w:w="506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pPr>
            <w:r>
              <w:rPr/>
              <w:t> </w:t>
            </w:r>
          </w:p>
        </w:tc>
        <w:tc>
          <w:tcPr>
            <w:tcW w:w="43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II.</w:t>
            </w:r>
          </w:p>
        </w:tc>
        <w:tc>
          <w:tcPr>
            <w:tcW w:w="50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Forelæggelse af årsrapport til godkendelse</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II.</w:t>
            </w:r>
          </w:p>
        </w:tc>
        <w:tc>
          <w:tcPr>
            <w:tcW w:w="43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Presentation of the audited annual report for adoption;</w:t>
            </w:r>
          </w:p>
        </w:tc>
      </w:tr>
      <w:tr>
        <w:trPr/>
        <w:tc>
          <w:tcPr>
            <w:tcW w:w="75"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pPr>
            <w:r>
              <w:rPr/>
              <w:t> </w:t>
            </w:r>
          </w:p>
        </w:tc>
        <w:tc>
          <w:tcPr>
            <w:tcW w:w="506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pPr>
            <w:r>
              <w:rPr/>
              <w:t> </w:t>
            </w:r>
          </w:p>
        </w:tc>
        <w:tc>
          <w:tcPr>
            <w:tcW w:w="43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III.</w:t>
            </w:r>
          </w:p>
        </w:tc>
        <w:tc>
          <w:tcPr>
            <w:tcW w:w="50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Beslutning om anvendelse af overskud eller dækning af tab i henhold til den godkendte årsrapport.</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III.</w:t>
            </w:r>
          </w:p>
        </w:tc>
        <w:tc>
          <w:tcPr>
            <w:tcW w:w="43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Resolution on allocation of profit or coverage of loss, cf. the adopted annual report;</w:t>
            </w:r>
          </w:p>
        </w:tc>
      </w:tr>
      <w:tr>
        <w:trPr/>
        <w:tc>
          <w:tcPr>
            <w:tcW w:w="75"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pPr>
            <w:r>
              <w:rPr/>
              <w:t> </w:t>
            </w:r>
          </w:p>
        </w:tc>
        <w:tc>
          <w:tcPr>
            <w:tcW w:w="506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pPr>
            <w:r>
              <w:rPr/>
              <w:t> </w:t>
            </w:r>
          </w:p>
        </w:tc>
        <w:tc>
          <w:tcPr>
            <w:tcW w:w="4338"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410"/>
        <w:gridCol w:w="4274"/>
        <w:gridCol w:w="60"/>
        <w:gridCol w:w="60"/>
        <w:gridCol w:w="410"/>
        <w:gridCol w:w="4916"/>
      </w:tblGrid>
      <w:tr>
        <w:trPr/>
        <w:tc>
          <w:tcPr>
            <w:tcW w:w="7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IV.</w:t>
            </w:r>
          </w:p>
        </w:tc>
        <w:tc>
          <w:tcPr>
            <w:tcW w:w="427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Valg af medlemmer til bestyrelsen.</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IV.</w:t>
            </w:r>
          </w:p>
        </w:tc>
        <w:tc>
          <w:tcPr>
            <w:tcW w:w="49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Election of members to the Board of Directors;</w:t>
            </w:r>
          </w:p>
        </w:tc>
      </w:tr>
      <w:tr>
        <w:trPr/>
        <w:tc>
          <w:tcPr>
            <w:tcW w:w="7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 </w:t>
            </w:r>
          </w:p>
        </w:tc>
        <w:tc>
          <w:tcPr>
            <w:tcW w:w="42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 </w:t>
            </w:r>
          </w:p>
        </w:tc>
        <w:tc>
          <w:tcPr>
            <w:tcW w:w="491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w:t>
            </w:r>
          </w:p>
        </w:tc>
        <w:tc>
          <w:tcPr>
            <w:tcW w:w="427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Valg af revisor</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w:t>
            </w:r>
          </w:p>
        </w:tc>
        <w:tc>
          <w:tcPr>
            <w:tcW w:w="49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Election of auditor;</w:t>
            </w:r>
          </w:p>
        </w:tc>
      </w:tr>
      <w:tr>
        <w:trPr/>
        <w:tc>
          <w:tcPr>
            <w:tcW w:w="7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 </w:t>
            </w:r>
          </w:p>
        </w:tc>
        <w:tc>
          <w:tcPr>
            <w:tcW w:w="42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 </w:t>
            </w:r>
          </w:p>
        </w:tc>
        <w:tc>
          <w:tcPr>
            <w:tcW w:w="491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w:t>
            </w:r>
          </w:p>
        </w:tc>
        <w:tc>
          <w:tcPr>
            <w:tcW w:w="42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Eventuelle forslag fra bestyrelsen og/eller aktionærerne.</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w:t>
            </w:r>
          </w:p>
        </w:tc>
        <w:tc>
          <w:tcPr>
            <w:tcW w:w="49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motion from the board of directors and/or the shareholders.</w:t>
            </w:r>
          </w:p>
        </w:tc>
      </w:tr>
      <w:tr>
        <w:trPr/>
        <w:tc>
          <w:tcPr>
            <w:tcW w:w="7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 </w:t>
            </w:r>
          </w:p>
        </w:tc>
        <w:tc>
          <w:tcPr>
            <w:tcW w:w="42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 </w:t>
            </w:r>
          </w:p>
        </w:tc>
        <w:tc>
          <w:tcPr>
            <w:tcW w:w="491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VII.</w:t>
            </w:r>
          </w:p>
        </w:tc>
        <w:tc>
          <w:tcPr>
            <w:tcW w:w="427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Eventuelt.</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VII.</w:t>
            </w:r>
          </w:p>
        </w:tc>
        <w:tc>
          <w:tcPr>
            <w:tcW w:w="49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Miscellaneous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4829"/>
        <w:gridCol w:w="60"/>
        <w:gridCol w:w="275"/>
        <w:gridCol w:w="4751"/>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4.7</w:t>
            </w:r>
          </w:p>
        </w:tc>
        <w:tc>
          <w:tcPr>
            <w:tcW w:w="482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Forslag fra kapitalejerne til behandling på den ordinære generalforsamling må være indgivet til selskabet senest 6 uger før afholdelsen af den ordinære generalforsamling.</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4.7</w:t>
            </w:r>
          </w:p>
        </w:tc>
        <w:tc>
          <w:tcPr>
            <w:tcW w:w="47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Shareholder motions to be dealt with at the Ordinary General Meeting must be filed with the Company no later than 6 weeks prior to the Ordinary General Meeting.</w:t>
            </w:r>
          </w:p>
        </w:tc>
      </w:tr>
      <w:tr>
        <w:trPr/>
        <w:tc>
          <w:tcPr>
            <w:tcW w:w="290" w:type="dxa"/>
            <w:tcBorders/>
            <w:vAlign w:val="center"/>
          </w:tcPr>
          <w:p>
            <w:pPr>
              <w:pStyle w:val="TableContents"/>
              <w:bidi w:val="0"/>
              <w:spacing w:before="0" w:after="283"/>
              <w:jc w:val="both"/>
              <w:rPr/>
            </w:pPr>
            <w:r>
              <w:rPr/>
              <w:t> </w:t>
            </w:r>
          </w:p>
        </w:tc>
        <w:tc>
          <w:tcPr>
            <w:tcW w:w="482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51"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4.8</w:t>
            </w:r>
          </w:p>
        </w:tc>
        <w:tc>
          <w:tcPr>
            <w:tcW w:w="482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Sproget på generalforsamlingen er engelsk uden simultantolkning til og fra dansk. Dokumenter udarbejdet til generalforsamlingens brug i forbindelse med eller efter generalforsamlingen udarbejdes på engelsk.</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4.8</w:t>
            </w:r>
          </w:p>
        </w:tc>
        <w:tc>
          <w:tcPr>
            <w:tcW w:w="47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language of the general meeting shall be English and no simultaneous interpretation to and from Danish shall be offered. Documents prepared for the use of the general meeting in relation to or after the general meeting shall be prepared in English.</w:t>
            </w:r>
          </w:p>
        </w:tc>
      </w:tr>
      <w:tr>
        <w:trPr/>
        <w:tc>
          <w:tcPr>
            <w:tcW w:w="290" w:type="dxa"/>
            <w:tcBorders/>
            <w:vAlign w:val="center"/>
          </w:tcPr>
          <w:p>
            <w:pPr>
              <w:pStyle w:val="TableContents"/>
              <w:bidi w:val="0"/>
              <w:spacing w:before="0" w:after="283"/>
              <w:jc w:val="both"/>
              <w:rPr/>
            </w:pPr>
            <w:r>
              <w:rPr/>
              <w:t> </w:t>
            </w:r>
          </w:p>
        </w:tc>
        <w:tc>
          <w:tcPr>
            <w:tcW w:w="482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51"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5.</w:t>
            </w:r>
          </w:p>
        </w:tc>
        <w:tc>
          <w:tcPr>
            <w:tcW w:w="4829"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Stemmeret</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5.</w:t>
            </w:r>
          </w:p>
        </w:tc>
        <w:tc>
          <w:tcPr>
            <w:tcW w:w="4751"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Voting rights</w:t>
            </w:r>
          </w:p>
        </w:tc>
      </w:tr>
      <w:tr>
        <w:trPr/>
        <w:tc>
          <w:tcPr>
            <w:tcW w:w="290" w:type="dxa"/>
            <w:tcBorders/>
            <w:vAlign w:val="center"/>
          </w:tcPr>
          <w:p>
            <w:pPr>
              <w:pStyle w:val="TableContents"/>
              <w:bidi w:val="0"/>
              <w:spacing w:before="0" w:after="283"/>
              <w:jc w:val="both"/>
              <w:rPr/>
            </w:pPr>
            <w:r>
              <w:rPr/>
              <w:t> </w:t>
            </w:r>
          </w:p>
        </w:tc>
        <w:tc>
          <w:tcPr>
            <w:tcW w:w="482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51"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w:t>
            </w:r>
          </w:p>
        </w:tc>
        <w:tc>
          <w:tcPr>
            <w:tcW w:w="482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På generalforsamlingen giver hvert aktiebeløb på nominelt 0,25 kr. én stemme. Aktionærerne er berettigede til at stemme forskelligt på deres aktier.</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w:t>
            </w:r>
          </w:p>
        </w:tc>
        <w:tc>
          <w:tcPr>
            <w:tcW w:w="47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share of nominal DKK 0.25 equals one vote at the General Meeting. The shareholders are entitled to vote their shares differently.</w:t>
            </w:r>
          </w:p>
        </w:tc>
      </w:tr>
      <w:tr>
        <w:trPr/>
        <w:tc>
          <w:tcPr>
            <w:tcW w:w="290" w:type="dxa"/>
            <w:tcBorders/>
            <w:vAlign w:val="center"/>
          </w:tcPr>
          <w:p>
            <w:pPr>
              <w:pStyle w:val="TableContents"/>
              <w:bidi w:val="0"/>
              <w:spacing w:before="0" w:after="283"/>
              <w:jc w:val="both"/>
              <w:rPr/>
            </w:pPr>
            <w:r>
              <w:rPr/>
              <w:t> </w:t>
            </w:r>
          </w:p>
        </w:tc>
        <w:tc>
          <w:tcPr>
            <w:tcW w:w="482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51"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5.2</w:t>
            </w:r>
          </w:p>
        </w:tc>
        <w:tc>
          <w:tcPr>
            <w:tcW w:w="48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Alle beslutninger på generalforsamlingen afgøres ved simpelt stemmeflertal, medmindre selskabsloven eller vedtægterne foreskriver særlige regler om repræsentation og majoritet. Står stemmerne lige, skal valg af dirigent, bestyrelse, revisorer og lignende afgøres ved lodtrækning.</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5.2</w:t>
            </w:r>
          </w:p>
        </w:tc>
        <w:tc>
          <w:tcPr>
            <w:tcW w:w="4751" w:type="dxa"/>
            <w:tcBorders/>
            <w:vAlign w:val="center"/>
          </w:tcPr>
          <w:p>
            <w:pPr>
              <w:pStyle w:val="TableContents"/>
              <w:bidi w:val="0"/>
              <w:spacing w:before="0" w:after="283"/>
              <w:jc w:val="both"/>
              <w:rPr/>
            </w:pPr>
            <w:r>
              <w:rPr>
                <w:rFonts w:ascii="Times New Roman;Times;Serif" w:hAnsi="Times New Roman;Times;Serif"/>
                <w:sz w:val="20"/>
              </w:rPr>
              <w:t xml:space="preserve">All resolutions at the General Meeting are passed by simple majority, unless The Companies Act or the Company's Articles of Association set out special rules regarding representation and majority. In case of parity of votes, the election of chairman of the meeting, board of directors, auditors and the like shall be decided by </w:t>
            </w:r>
            <w:r>
              <w:rPr>
                <w:rFonts w:ascii="Times New Roman;Times;Serif" w:hAnsi="Times New Roman;Times;Serif"/>
              </w:rPr>
              <w:t>ballot.</w:t>
            </w:r>
          </w:p>
        </w:tc>
      </w:tr>
      <w:tr>
        <w:trPr/>
        <w:tc>
          <w:tcPr>
            <w:tcW w:w="290" w:type="dxa"/>
            <w:tcBorders/>
            <w:vAlign w:val="center"/>
          </w:tcPr>
          <w:p>
            <w:pPr>
              <w:pStyle w:val="TableContents"/>
              <w:bidi w:val="0"/>
              <w:spacing w:before="0" w:after="283"/>
              <w:jc w:val="both"/>
              <w:rPr/>
            </w:pPr>
            <w:r>
              <w:rPr/>
              <w:t> </w:t>
            </w:r>
          </w:p>
        </w:tc>
        <w:tc>
          <w:tcPr>
            <w:tcW w:w="482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51"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290"/>
        <w:gridCol w:w="4994"/>
        <w:gridCol w:w="60"/>
        <w:gridCol w:w="275"/>
        <w:gridCol w:w="4586"/>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5.3</w:t>
            </w:r>
          </w:p>
        </w:tc>
        <w:tc>
          <w:tcPr>
            <w:tcW w:w="4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 aktionærs ret til at deltage i en generalforsamling og til at afgive stemme fastsættes i forhold til de aktier, som aktionæren besidder på registreringsdatoen. Registreringsdatoen er én uge før generalforsamlingen. En aktionærs besiddelse af aktier og stemmer opgøres på registreringsdatoen på baggrund af notering af aktionærens ejerforhold i ejerbogen samt eventuelle ejerforhold, som selskabet har modtaget med henblik på indførsel i ejerbogen.</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5.3</w:t>
            </w:r>
          </w:p>
        </w:tc>
        <w:tc>
          <w:tcPr>
            <w:tcW w:w="45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shareholder's right to attend general meetings and to vote at general meetings is determined on the basis of the shares that the shareholder owns on the record date. The record date shall be one week before the general meeting is held. The shares which a shareholder owns are calculated on the record date on the basis of the recording of ownership in the register of shareholders as well as notifications concerning ownership which the company has received with a view to update the register of shareholders.</w:t>
            </w:r>
          </w:p>
        </w:tc>
      </w:tr>
      <w:tr>
        <w:trPr/>
        <w:tc>
          <w:tcPr>
            <w:tcW w:w="290" w:type="dxa"/>
            <w:tcBorders/>
            <w:vAlign w:val="center"/>
          </w:tcPr>
          <w:p>
            <w:pPr>
              <w:pStyle w:val="TableContents"/>
              <w:bidi w:val="0"/>
              <w:spacing w:before="0" w:after="283"/>
              <w:jc w:val="both"/>
              <w:rPr/>
            </w:pPr>
            <w:r>
              <w:rPr/>
              <w:t> </w:t>
            </w:r>
          </w:p>
        </w:tc>
        <w:tc>
          <w:tcPr>
            <w:tcW w:w="499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586"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5.4</w:t>
            </w:r>
          </w:p>
        </w:tc>
        <w:tc>
          <w:tcPr>
            <w:tcW w:w="49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 aktionær, der er berettiget til at deltage i generalforsamlingen i henhold til pkt. 5.3, og som ønsker at deltage i generalforsamlingen, skal senest tre hverdage før dens afholdelse anmode selskabet om adgangskort.</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5.4</w:t>
            </w:r>
          </w:p>
        </w:tc>
        <w:tc>
          <w:tcPr>
            <w:tcW w:w="458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shareholder who is entitled to attend the general meeting pursuant to clause 5.3 and who wishes to attend the general meeting must request an admission card from the company no later than three business days in advance of the general meeting.</w:t>
            </w:r>
          </w:p>
        </w:tc>
      </w:tr>
      <w:tr>
        <w:trPr/>
        <w:tc>
          <w:tcPr>
            <w:tcW w:w="290" w:type="dxa"/>
            <w:tcBorders/>
            <w:vAlign w:val="center"/>
          </w:tcPr>
          <w:p>
            <w:pPr>
              <w:pStyle w:val="TableContents"/>
              <w:bidi w:val="0"/>
              <w:spacing w:before="0" w:after="283"/>
              <w:jc w:val="both"/>
              <w:rPr/>
            </w:pPr>
            <w:r>
              <w:rPr/>
              <w:t> </w:t>
            </w:r>
          </w:p>
        </w:tc>
        <w:tc>
          <w:tcPr>
            <w:tcW w:w="499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586"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5.5</w:t>
            </w:r>
          </w:p>
        </w:tc>
        <w:tc>
          <w:tcPr>
            <w:tcW w:w="49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 aktionær kan møde personligt eller ved fuldmagt. Fuldmægtigen skal fremlægge skriftligt og dateret fuldmagt.</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5.5</w:t>
            </w:r>
          </w:p>
        </w:tc>
        <w:tc>
          <w:tcPr>
            <w:tcW w:w="458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shareholder may attend the general meeting in person or by proxy. The proxy shall submit a written and dated power of attorney.</w:t>
            </w:r>
          </w:p>
        </w:tc>
      </w:tr>
      <w:tr>
        <w:trPr/>
        <w:tc>
          <w:tcPr>
            <w:tcW w:w="290" w:type="dxa"/>
            <w:tcBorders/>
            <w:vAlign w:val="center"/>
          </w:tcPr>
          <w:p>
            <w:pPr>
              <w:pStyle w:val="TableContents"/>
              <w:bidi w:val="0"/>
              <w:spacing w:before="0" w:after="283"/>
              <w:jc w:val="both"/>
              <w:rPr/>
            </w:pPr>
            <w:r>
              <w:rPr/>
              <w:t> </w:t>
            </w:r>
          </w:p>
        </w:tc>
        <w:tc>
          <w:tcPr>
            <w:tcW w:w="499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586"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5.6</w:t>
            </w:r>
          </w:p>
        </w:tc>
        <w:tc>
          <w:tcPr>
            <w:tcW w:w="49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 aktionær, der er berettiget til at deltage i en generalforsamling i henhold til pkt. 5.3, kan brevstemme. Brevstemmer skal være selskabet i hænde senest hverdagen før generalforsamlingens afholdelse. Brevstemmer kan ikke tilbagekaldes.</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5.6</w:t>
            </w:r>
          </w:p>
        </w:tc>
        <w:tc>
          <w:tcPr>
            <w:tcW w:w="458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shareholder who is entitled to attend a general meeting pursuant to clause 5.3 may vote by post. Votes by post shall be received by the company no later than one business day in advance of the general meeting. Votes by post cannot be revoked.</w:t>
            </w:r>
          </w:p>
        </w:tc>
      </w:tr>
      <w:tr>
        <w:trPr/>
        <w:tc>
          <w:tcPr>
            <w:tcW w:w="290" w:type="dxa"/>
            <w:tcBorders/>
            <w:vAlign w:val="center"/>
          </w:tcPr>
          <w:p>
            <w:pPr>
              <w:pStyle w:val="TableContents"/>
              <w:bidi w:val="0"/>
              <w:spacing w:before="0" w:after="283"/>
              <w:jc w:val="both"/>
              <w:rPr/>
            </w:pPr>
            <w:r>
              <w:rPr/>
              <w:t> </w:t>
            </w:r>
          </w:p>
        </w:tc>
        <w:tc>
          <w:tcPr>
            <w:tcW w:w="499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586"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290"/>
        <w:gridCol w:w="4857"/>
        <w:gridCol w:w="60"/>
        <w:gridCol w:w="275"/>
        <w:gridCol w:w="4723"/>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6.</w:t>
            </w:r>
          </w:p>
        </w:tc>
        <w:tc>
          <w:tcPr>
            <w:tcW w:w="4857"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Bestyrelse</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6.</w:t>
            </w:r>
          </w:p>
        </w:tc>
        <w:tc>
          <w:tcPr>
            <w:tcW w:w="472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Board of directors</w:t>
            </w:r>
          </w:p>
        </w:tc>
      </w:tr>
      <w:tr>
        <w:trPr/>
        <w:tc>
          <w:tcPr>
            <w:tcW w:w="290" w:type="dxa"/>
            <w:tcBorders/>
            <w:vAlign w:val="center"/>
          </w:tcPr>
          <w:p>
            <w:pPr>
              <w:pStyle w:val="TableContents"/>
              <w:bidi w:val="0"/>
              <w:spacing w:before="0" w:after="283"/>
              <w:jc w:val="both"/>
              <w:rPr/>
            </w:pPr>
            <w:r>
              <w:rPr/>
              <w:t> </w:t>
            </w:r>
          </w:p>
        </w:tc>
        <w:tc>
          <w:tcPr>
            <w:tcW w:w="48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2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w:t>
            </w:r>
          </w:p>
        </w:tc>
        <w:tc>
          <w:tcPr>
            <w:tcW w:w="48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Selskabets ledes af en på generalforsamlingen valgt bestyrelse bestående af 3-7 medlemmer. Bestyrelsens medlemmer vælges for ét år ad gangen og kan genvælges.</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w:t>
            </w:r>
          </w:p>
        </w:tc>
        <w:tc>
          <w:tcPr>
            <w:tcW w:w="47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is managed by a 3-7- member Board of Directors elected by the General meeting. Members of the Board of Directors are elected for a term of one year, subject to re-election.</w:t>
            </w:r>
          </w:p>
        </w:tc>
      </w:tr>
      <w:tr>
        <w:trPr/>
        <w:tc>
          <w:tcPr>
            <w:tcW w:w="290" w:type="dxa"/>
            <w:tcBorders/>
            <w:vAlign w:val="center"/>
          </w:tcPr>
          <w:p>
            <w:pPr>
              <w:pStyle w:val="TableContents"/>
              <w:bidi w:val="0"/>
              <w:spacing w:before="0" w:after="283"/>
              <w:jc w:val="both"/>
              <w:rPr/>
            </w:pPr>
            <w:r>
              <w:rPr/>
              <w:t> </w:t>
            </w:r>
          </w:p>
        </w:tc>
        <w:tc>
          <w:tcPr>
            <w:tcW w:w="48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2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w:t>
            </w:r>
          </w:p>
        </w:tc>
        <w:tc>
          <w:tcPr>
            <w:tcW w:w="48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Bestyrelsen vælger en formand og en næstformand.</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w:t>
            </w:r>
          </w:p>
        </w:tc>
        <w:tc>
          <w:tcPr>
            <w:tcW w:w="47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Board of Directors elects a chairman and a vice-chairman.</w:t>
            </w:r>
          </w:p>
        </w:tc>
      </w:tr>
      <w:tr>
        <w:trPr/>
        <w:tc>
          <w:tcPr>
            <w:tcW w:w="290" w:type="dxa"/>
            <w:tcBorders/>
            <w:vAlign w:val="center"/>
          </w:tcPr>
          <w:p>
            <w:pPr>
              <w:pStyle w:val="TableContents"/>
              <w:bidi w:val="0"/>
              <w:spacing w:before="0" w:after="283"/>
              <w:jc w:val="both"/>
              <w:rPr/>
            </w:pPr>
            <w:r>
              <w:rPr/>
              <w:t> </w:t>
            </w:r>
          </w:p>
        </w:tc>
        <w:tc>
          <w:tcPr>
            <w:tcW w:w="48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2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6.3</w:t>
            </w:r>
          </w:p>
        </w:tc>
        <w:tc>
          <w:tcPr>
            <w:tcW w:w="48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Bestyrelsen skal vedtage en forretningsorden om udførelsen af sit hverv.</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6.3</w:t>
            </w:r>
          </w:p>
        </w:tc>
        <w:tc>
          <w:tcPr>
            <w:tcW w:w="47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board of directors shall adopt rules of procedure governing the performance of its duties.</w:t>
            </w:r>
          </w:p>
        </w:tc>
      </w:tr>
      <w:tr>
        <w:trPr/>
        <w:tc>
          <w:tcPr>
            <w:tcW w:w="290" w:type="dxa"/>
            <w:tcBorders/>
            <w:vAlign w:val="center"/>
          </w:tcPr>
          <w:p>
            <w:pPr>
              <w:pStyle w:val="TableContents"/>
              <w:bidi w:val="0"/>
              <w:spacing w:before="0" w:after="283"/>
              <w:jc w:val="both"/>
              <w:rPr/>
            </w:pPr>
            <w:r>
              <w:rPr/>
              <w:t> </w:t>
            </w:r>
          </w:p>
        </w:tc>
        <w:tc>
          <w:tcPr>
            <w:tcW w:w="48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2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6.4</w:t>
            </w:r>
          </w:p>
        </w:tc>
        <w:tc>
          <w:tcPr>
            <w:tcW w:w="48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Referater af bestyrelsesmøder skal underskrives af samtlige tilstedeværende bestyrelsesmedlemmer.</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6.4</w:t>
            </w:r>
          </w:p>
        </w:tc>
        <w:tc>
          <w:tcPr>
            <w:tcW w:w="47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Minutes of board meetings shall be signed by all directors present at the meetings.</w:t>
            </w:r>
          </w:p>
        </w:tc>
      </w:tr>
      <w:tr>
        <w:trPr/>
        <w:tc>
          <w:tcPr>
            <w:tcW w:w="290" w:type="dxa"/>
            <w:tcBorders/>
            <w:vAlign w:val="center"/>
          </w:tcPr>
          <w:p>
            <w:pPr>
              <w:pStyle w:val="TableContents"/>
              <w:bidi w:val="0"/>
              <w:spacing w:before="0" w:after="283"/>
              <w:jc w:val="both"/>
              <w:rPr/>
            </w:pPr>
            <w:r>
              <w:rPr/>
              <w:t> </w:t>
            </w:r>
          </w:p>
        </w:tc>
        <w:tc>
          <w:tcPr>
            <w:tcW w:w="48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2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6.5</w:t>
            </w:r>
          </w:p>
        </w:tc>
        <w:tc>
          <w:tcPr>
            <w:tcW w:w="48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Selskabets koncernsprog er engelsk. Møder i bestyrelsen afholdes på engelsk.</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6.5</w:t>
            </w:r>
          </w:p>
        </w:tc>
        <w:tc>
          <w:tcPr>
            <w:tcW w:w="47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corporate language shall be English. Board meetings be conducted in English.</w:t>
            </w:r>
          </w:p>
        </w:tc>
      </w:tr>
      <w:tr>
        <w:trPr/>
        <w:tc>
          <w:tcPr>
            <w:tcW w:w="290" w:type="dxa"/>
            <w:tcBorders/>
            <w:vAlign w:val="center"/>
          </w:tcPr>
          <w:p>
            <w:pPr>
              <w:pStyle w:val="TableContents"/>
              <w:bidi w:val="0"/>
              <w:spacing w:before="0" w:after="283"/>
              <w:jc w:val="both"/>
              <w:rPr/>
            </w:pPr>
            <w:r>
              <w:rPr/>
              <w:t> </w:t>
            </w:r>
          </w:p>
        </w:tc>
        <w:tc>
          <w:tcPr>
            <w:tcW w:w="48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2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7.</w:t>
            </w:r>
          </w:p>
        </w:tc>
        <w:tc>
          <w:tcPr>
            <w:tcW w:w="4857"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Direktion</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7.</w:t>
            </w:r>
          </w:p>
        </w:tc>
        <w:tc>
          <w:tcPr>
            <w:tcW w:w="472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Management board</w:t>
            </w:r>
          </w:p>
        </w:tc>
      </w:tr>
      <w:tr>
        <w:trPr/>
        <w:tc>
          <w:tcPr>
            <w:tcW w:w="290" w:type="dxa"/>
            <w:tcBorders/>
            <w:vAlign w:val="center"/>
          </w:tcPr>
          <w:p>
            <w:pPr>
              <w:pStyle w:val="TableContents"/>
              <w:bidi w:val="0"/>
              <w:spacing w:before="0" w:after="283"/>
              <w:jc w:val="both"/>
              <w:rPr/>
            </w:pPr>
            <w:r>
              <w:rPr/>
              <w:t> </w:t>
            </w:r>
          </w:p>
        </w:tc>
        <w:tc>
          <w:tcPr>
            <w:tcW w:w="48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2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w:t>
            </w:r>
          </w:p>
        </w:tc>
        <w:tc>
          <w:tcPr>
            <w:tcW w:w="48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Bestyrelsen ansætter 1-7 direktører til at varetage den daglige ledelse af Selskabets virksomhed.</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w:t>
            </w:r>
          </w:p>
        </w:tc>
        <w:tc>
          <w:tcPr>
            <w:tcW w:w="47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of directors shall appoint 1-7 Executive Directors to be in charge of the day-to-day operations of the Company.</w:t>
            </w:r>
          </w:p>
        </w:tc>
      </w:tr>
      <w:tr>
        <w:trPr/>
        <w:tc>
          <w:tcPr>
            <w:tcW w:w="290" w:type="dxa"/>
            <w:tcBorders/>
            <w:vAlign w:val="center"/>
          </w:tcPr>
          <w:p>
            <w:pPr>
              <w:pStyle w:val="TableContents"/>
              <w:bidi w:val="0"/>
              <w:spacing w:before="0" w:after="283"/>
              <w:jc w:val="both"/>
              <w:rPr/>
            </w:pPr>
            <w:r>
              <w:rPr/>
              <w:t> </w:t>
            </w:r>
          </w:p>
        </w:tc>
        <w:tc>
          <w:tcPr>
            <w:tcW w:w="48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2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8.</w:t>
            </w:r>
          </w:p>
        </w:tc>
        <w:tc>
          <w:tcPr>
            <w:tcW w:w="4857"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Tegningsregel</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8.</w:t>
            </w:r>
          </w:p>
        </w:tc>
        <w:tc>
          <w:tcPr>
            <w:tcW w:w="472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Power to bind the Company</w:t>
            </w:r>
          </w:p>
        </w:tc>
      </w:tr>
      <w:tr>
        <w:trPr/>
        <w:tc>
          <w:tcPr>
            <w:tcW w:w="290" w:type="dxa"/>
            <w:tcBorders/>
            <w:vAlign w:val="center"/>
          </w:tcPr>
          <w:p>
            <w:pPr>
              <w:pStyle w:val="TableContents"/>
              <w:bidi w:val="0"/>
              <w:spacing w:before="0" w:after="283"/>
              <w:jc w:val="both"/>
              <w:rPr/>
            </w:pPr>
            <w:r>
              <w:rPr/>
              <w:t> </w:t>
            </w:r>
          </w:p>
        </w:tc>
        <w:tc>
          <w:tcPr>
            <w:tcW w:w="48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2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8.1</w:t>
            </w:r>
          </w:p>
        </w:tc>
        <w:tc>
          <w:tcPr>
            <w:tcW w:w="48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Selskabet tegnes af den administrerende direktør og en direktør i forening, eller den administrerende direktør og et medlem af bestyrelsen i forening, eller af den samlede bestyrelse.</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8.1</w:t>
            </w:r>
          </w:p>
        </w:tc>
        <w:tc>
          <w:tcPr>
            <w:tcW w:w="47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 bound by the joint signatures of the Chief Executive Director and an Executive Director, or by the joint signatures of the Chief Executive Director and a Board Member or by the joint signature of all of the Board Members.</w:t>
            </w:r>
          </w:p>
        </w:tc>
      </w:tr>
      <w:tr>
        <w:trPr/>
        <w:tc>
          <w:tcPr>
            <w:tcW w:w="290" w:type="dxa"/>
            <w:tcBorders/>
            <w:vAlign w:val="center"/>
          </w:tcPr>
          <w:p>
            <w:pPr>
              <w:pStyle w:val="TableContents"/>
              <w:bidi w:val="0"/>
              <w:spacing w:before="0" w:after="283"/>
              <w:jc w:val="both"/>
              <w:rPr/>
            </w:pPr>
            <w:r>
              <w:rPr/>
              <w:t> </w:t>
            </w:r>
          </w:p>
        </w:tc>
        <w:tc>
          <w:tcPr>
            <w:tcW w:w="48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2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w:t>
            </w:r>
          </w:p>
        </w:tc>
        <w:tc>
          <w:tcPr>
            <w:tcW w:w="4857"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Revision og regnskabsår</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w:t>
            </w:r>
          </w:p>
        </w:tc>
        <w:tc>
          <w:tcPr>
            <w:tcW w:w="472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Audit and financial year</w:t>
            </w:r>
          </w:p>
        </w:tc>
      </w:tr>
      <w:tr>
        <w:trPr/>
        <w:tc>
          <w:tcPr>
            <w:tcW w:w="290" w:type="dxa"/>
            <w:tcBorders/>
            <w:vAlign w:val="center"/>
          </w:tcPr>
          <w:p>
            <w:pPr>
              <w:pStyle w:val="TableContents"/>
              <w:bidi w:val="0"/>
              <w:spacing w:before="0" w:after="283"/>
              <w:jc w:val="both"/>
              <w:rPr/>
            </w:pPr>
            <w:r>
              <w:rPr/>
              <w:t> </w:t>
            </w:r>
          </w:p>
        </w:tc>
        <w:tc>
          <w:tcPr>
            <w:tcW w:w="48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2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9.1</w:t>
            </w:r>
          </w:p>
        </w:tc>
        <w:tc>
          <w:tcPr>
            <w:tcW w:w="48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Selskabets årsrapporter revideres af én af generalforsamlingen valgt statsautoriseret eller registreret revisor, der vælges for ét år ad gangen. Genvalg er muligt.</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9.1</w:t>
            </w:r>
          </w:p>
        </w:tc>
        <w:tc>
          <w:tcPr>
            <w:tcW w:w="47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 Company's annual reports are audited by a state-authorized public accountant or a registered accountant, elected by the General Meeting for a term of one year, subject to re-election. </w:t>
            </w:r>
          </w:p>
        </w:tc>
      </w:tr>
      <w:tr>
        <w:trPr/>
        <w:tc>
          <w:tcPr>
            <w:tcW w:w="290" w:type="dxa"/>
            <w:tcBorders/>
            <w:vAlign w:val="center"/>
          </w:tcPr>
          <w:p>
            <w:pPr>
              <w:pStyle w:val="TableContents"/>
              <w:bidi w:val="0"/>
              <w:spacing w:before="0" w:after="283"/>
              <w:jc w:val="both"/>
              <w:rPr/>
            </w:pPr>
            <w:r>
              <w:rPr/>
              <w:t> </w:t>
            </w:r>
          </w:p>
        </w:tc>
        <w:tc>
          <w:tcPr>
            <w:tcW w:w="48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723"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95"/>
        <w:gridCol w:w="4404"/>
        <w:gridCol w:w="60"/>
        <w:gridCol w:w="380"/>
        <w:gridCol w:w="4966"/>
      </w:tblGrid>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9.2</w:t>
            </w:r>
          </w:p>
        </w:tc>
        <w:tc>
          <w:tcPr>
            <w:tcW w:w="44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Årsrapporten opgøres i overensstemmende med god regnskabsskik og under foretagelse af påbudte og nødvendige afskrivninger og henlæggelser.</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9.2</w:t>
            </w:r>
          </w:p>
        </w:tc>
        <w:tc>
          <w:tcPr>
            <w:tcW w:w="49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annual report is compiled in accordance with sound accounting principles and subject to obligatory and requisite depreciations and provisions.</w:t>
            </w:r>
          </w:p>
        </w:tc>
      </w:tr>
      <w:tr>
        <w:trPr/>
        <w:tc>
          <w:tcPr>
            <w:tcW w:w="395" w:type="dxa"/>
            <w:tcBorders/>
            <w:vAlign w:val="center"/>
          </w:tcPr>
          <w:p>
            <w:pPr>
              <w:pStyle w:val="TableContents"/>
              <w:bidi w:val="0"/>
              <w:spacing w:before="0" w:after="283"/>
              <w:jc w:val="both"/>
              <w:rPr/>
            </w:pPr>
            <w:r>
              <w:rPr/>
              <w:t> </w:t>
            </w:r>
          </w:p>
        </w:tc>
        <w:tc>
          <w:tcPr>
            <w:tcW w:w="440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966"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9.3</w:t>
            </w:r>
          </w:p>
        </w:tc>
        <w:tc>
          <w:tcPr>
            <w:tcW w:w="44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Selskabets regnskabsår er kalenderåret. Regnskabet kan aflægges på engelsk. Det første regnskabsår løber fra stiftelsen til den 31. december 2009.</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9.3</w:t>
            </w:r>
          </w:p>
        </w:tc>
        <w:tc>
          <w:tcPr>
            <w:tcW w:w="49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 financial year of the Company shall be the calendar year. The annual report may be presented in English. The first financial year runs from the incorporation date to 31 December 2009. </w:t>
            </w:r>
          </w:p>
        </w:tc>
      </w:tr>
      <w:tr>
        <w:trPr/>
        <w:tc>
          <w:tcPr>
            <w:tcW w:w="395" w:type="dxa"/>
            <w:tcBorders/>
            <w:vAlign w:val="center"/>
          </w:tcPr>
          <w:p>
            <w:pPr>
              <w:pStyle w:val="TableContents"/>
              <w:bidi w:val="0"/>
              <w:spacing w:before="0" w:after="283"/>
              <w:jc w:val="both"/>
              <w:rPr/>
            </w:pPr>
            <w:r>
              <w:rPr/>
              <w:t> </w:t>
            </w:r>
          </w:p>
        </w:tc>
        <w:tc>
          <w:tcPr>
            <w:tcW w:w="440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966"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w:t>
            </w:r>
          </w:p>
        </w:tc>
        <w:tc>
          <w:tcPr>
            <w:tcW w:w="4404"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Elektronisk kommunikation</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w:t>
            </w:r>
          </w:p>
        </w:tc>
        <w:tc>
          <w:tcPr>
            <w:tcW w:w="4966"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Electronic communication</w:t>
            </w:r>
          </w:p>
        </w:tc>
      </w:tr>
      <w:tr>
        <w:trPr/>
        <w:tc>
          <w:tcPr>
            <w:tcW w:w="395" w:type="dxa"/>
            <w:tcBorders/>
            <w:vAlign w:val="center"/>
          </w:tcPr>
          <w:p>
            <w:pPr>
              <w:pStyle w:val="TableContents"/>
              <w:bidi w:val="0"/>
              <w:spacing w:before="0" w:after="283"/>
              <w:jc w:val="both"/>
              <w:rPr/>
            </w:pPr>
            <w:r>
              <w:rPr/>
              <w:t> </w:t>
            </w:r>
          </w:p>
        </w:tc>
        <w:tc>
          <w:tcPr>
            <w:tcW w:w="440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966"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44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 kommunikation fra selskabet til den enkelte kapitalejer skal ske elektronisk ved e-mail, medmindre andet følger af lov.</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49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communication from the Company to each individual shareholder shall take place by electronic means by e-mail, unless otherwise provided for by law.</w:t>
            </w:r>
          </w:p>
        </w:tc>
      </w:tr>
      <w:tr>
        <w:trPr/>
        <w:tc>
          <w:tcPr>
            <w:tcW w:w="395" w:type="dxa"/>
            <w:tcBorders/>
            <w:vAlign w:val="center"/>
          </w:tcPr>
          <w:p>
            <w:pPr>
              <w:pStyle w:val="TableContents"/>
              <w:bidi w:val="0"/>
              <w:spacing w:before="0" w:after="283"/>
              <w:jc w:val="both"/>
              <w:rPr/>
            </w:pPr>
            <w:r>
              <w:rPr/>
              <w:t> </w:t>
            </w:r>
          </w:p>
        </w:tc>
        <w:tc>
          <w:tcPr>
            <w:tcW w:w="440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966"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w:t>
            </w:r>
          </w:p>
        </w:tc>
        <w:tc>
          <w:tcPr>
            <w:tcW w:w="44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 er aktionærens ansvar at sikre, at selskabet er i besiddelse af den korrekte e-mailadresse.</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w:t>
            </w:r>
          </w:p>
        </w:tc>
        <w:tc>
          <w:tcPr>
            <w:tcW w:w="49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shareholders shall be responsible for ensuring that the Company has the correct e-mail address</w:t>
            </w:r>
          </w:p>
        </w:tc>
      </w:tr>
      <w:tr>
        <w:trPr/>
        <w:tc>
          <w:tcPr>
            <w:tcW w:w="395" w:type="dxa"/>
            <w:tcBorders/>
            <w:vAlign w:val="center"/>
          </w:tcPr>
          <w:p>
            <w:pPr>
              <w:pStyle w:val="TableContents"/>
              <w:bidi w:val="0"/>
              <w:spacing w:before="0" w:after="283"/>
              <w:jc w:val="both"/>
              <w:rPr/>
            </w:pPr>
            <w:r>
              <w:rPr/>
              <w:t> </w:t>
            </w:r>
          </w:p>
        </w:tc>
        <w:tc>
          <w:tcPr>
            <w:tcW w:w="440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966"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w:t>
            </w:r>
          </w:p>
        </w:tc>
        <w:tc>
          <w:tcPr>
            <w:tcW w:w="44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 kommunikation fra aktionærerne til selskabet skal ske elektronisk ved e-mail til e-mailadresse, som oplyst på selskabets hjemmeside</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w:t>
            </w:r>
          </w:p>
        </w:tc>
        <w:tc>
          <w:tcPr>
            <w:tcW w:w="49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communication from the shareholders to the Company shall take place by electronic means by e-mail to the e-mail address as set out on the Company’s website.</w:t>
            </w:r>
          </w:p>
        </w:tc>
      </w:tr>
      <w:tr>
        <w:trPr/>
        <w:tc>
          <w:tcPr>
            <w:tcW w:w="395" w:type="dxa"/>
            <w:tcBorders/>
            <w:vAlign w:val="center"/>
          </w:tcPr>
          <w:p>
            <w:pPr>
              <w:pStyle w:val="TableContents"/>
              <w:bidi w:val="0"/>
              <w:spacing w:before="0" w:after="283"/>
              <w:jc w:val="both"/>
              <w:rPr/>
            </w:pPr>
            <w:r>
              <w:rPr/>
              <w:t> </w:t>
            </w:r>
          </w:p>
        </w:tc>
        <w:tc>
          <w:tcPr>
            <w:tcW w:w="440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966"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11.</w:t>
            </w:r>
          </w:p>
        </w:tc>
        <w:tc>
          <w:tcPr>
            <w:tcW w:w="4404"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Bemyndigelse til uddeling af ekstraordinært udbytte</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11.</w:t>
            </w:r>
          </w:p>
        </w:tc>
        <w:tc>
          <w:tcPr>
            <w:tcW w:w="4966"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Authorization to distribute extraordinary dividend</w:t>
            </w:r>
          </w:p>
        </w:tc>
      </w:tr>
      <w:tr>
        <w:trPr/>
        <w:tc>
          <w:tcPr>
            <w:tcW w:w="395" w:type="dxa"/>
            <w:tcBorders/>
            <w:vAlign w:val="center"/>
          </w:tcPr>
          <w:p>
            <w:pPr>
              <w:pStyle w:val="TableContents"/>
              <w:bidi w:val="0"/>
              <w:spacing w:before="0" w:after="283"/>
              <w:jc w:val="both"/>
              <w:rPr/>
            </w:pPr>
            <w:r>
              <w:rPr/>
              <w:t> </w:t>
            </w:r>
          </w:p>
        </w:tc>
        <w:tc>
          <w:tcPr>
            <w:tcW w:w="440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966"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11.1</w:t>
            </w:r>
          </w:p>
        </w:tc>
        <w:tc>
          <w:tcPr>
            <w:tcW w:w="44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Bestyrelsen bemyndiges til efter de i selskabsloven herom gældende regler at træffe beslutning om uddeling af ekstraordinært udbytte frem til næste ordinære generalforsamling.</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11.1</w:t>
            </w:r>
          </w:p>
        </w:tc>
        <w:tc>
          <w:tcPr>
            <w:tcW w:w="49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With reference to applicable rules in the Companies Act, the board of directors is authorized to decide on the distribution of extraordinary dividend until the next </w:t>
            </w:r>
            <w:r>
              <w:rPr>
                <w:rFonts w:ascii="Times New Roman;Times;Serif" w:hAnsi="Times New Roman;Times;Serif"/>
                <w:sz w:val="20"/>
              </w:rPr>
              <w:t>Ordinary General Meeting.</w:t>
            </w:r>
          </w:p>
        </w:tc>
      </w:tr>
      <w:tr>
        <w:trPr/>
        <w:tc>
          <w:tcPr>
            <w:tcW w:w="395" w:type="dxa"/>
            <w:tcBorders/>
            <w:vAlign w:val="center"/>
          </w:tcPr>
          <w:p>
            <w:pPr>
              <w:pStyle w:val="TableContents"/>
              <w:bidi w:val="0"/>
              <w:spacing w:before="0" w:after="283"/>
              <w:jc w:val="both"/>
              <w:rPr/>
            </w:pPr>
            <w:r>
              <w:rPr/>
              <w:t> </w:t>
            </w:r>
          </w:p>
        </w:tc>
        <w:tc>
          <w:tcPr>
            <w:tcW w:w="440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966"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95"/>
        <w:gridCol w:w="4710"/>
        <w:gridCol w:w="60"/>
        <w:gridCol w:w="380"/>
        <w:gridCol w:w="4660"/>
      </w:tblGrid>
      <w:tr>
        <w:trPr/>
        <w:tc>
          <w:tcPr>
            <w:tcW w:w="3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12.</w:t>
            </w:r>
          </w:p>
        </w:tc>
        <w:tc>
          <w:tcPr>
            <w:tcW w:w="471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Uoverensstemmelse</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12.</w:t>
            </w:r>
          </w:p>
        </w:tc>
        <w:tc>
          <w:tcPr>
            <w:tcW w:w="466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Discrepancy</w:t>
            </w:r>
          </w:p>
        </w:tc>
      </w:tr>
      <w:tr>
        <w:trPr/>
        <w:tc>
          <w:tcPr>
            <w:tcW w:w="395" w:type="dxa"/>
            <w:tcBorders/>
            <w:vAlign w:val="center"/>
          </w:tcPr>
          <w:p>
            <w:pPr>
              <w:pStyle w:val="TableContents"/>
              <w:bidi w:val="0"/>
              <w:spacing w:before="0" w:after="283"/>
              <w:jc w:val="both"/>
              <w:rPr/>
            </w:pPr>
            <w:r>
              <w:rPr/>
              <w:t> </w:t>
            </w:r>
          </w:p>
        </w:tc>
        <w:tc>
          <w:tcPr>
            <w:tcW w:w="47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60"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12.1</w:t>
            </w:r>
          </w:p>
        </w:tc>
        <w:tc>
          <w:tcPr>
            <w:tcW w:w="47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Hvis der er uoverensstemmelser mellem den danske version og engelske version af vedtægterne, da finder den engelske version anvendelse.</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12.1</w:t>
            </w:r>
          </w:p>
        </w:tc>
        <w:tc>
          <w:tcPr>
            <w:tcW w:w="46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case of any discrepancy between the Danish and the English version of the articles of association, the latter shall prevail.</w:t>
            </w:r>
          </w:p>
        </w:tc>
      </w:tr>
      <w:tr>
        <w:trPr/>
        <w:tc>
          <w:tcPr>
            <w:tcW w:w="395" w:type="dxa"/>
            <w:tcBorders/>
            <w:vAlign w:val="center"/>
          </w:tcPr>
          <w:p>
            <w:pPr>
              <w:pStyle w:val="TableContents"/>
              <w:bidi w:val="0"/>
              <w:spacing w:before="0" w:after="283"/>
              <w:jc w:val="both"/>
              <w:rPr/>
            </w:pPr>
            <w:r>
              <w:rPr/>
              <w:t> </w:t>
            </w:r>
          </w:p>
        </w:tc>
        <w:tc>
          <w:tcPr>
            <w:tcW w:w="47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60"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13.</w:t>
            </w:r>
          </w:p>
        </w:tc>
        <w:tc>
          <w:tcPr>
            <w:tcW w:w="471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Elektroniske generalforsamlinger</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13.</w:t>
            </w:r>
          </w:p>
        </w:tc>
        <w:tc>
          <w:tcPr>
            <w:tcW w:w="466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Electronic general meetings</w:t>
            </w:r>
          </w:p>
        </w:tc>
      </w:tr>
      <w:tr>
        <w:trPr/>
        <w:tc>
          <w:tcPr>
            <w:tcW w:w="395" w:type="dxa"/>
            <w:tcBorders/>
            <w:vAlign w:val="center"/>
          </w:tcPr>
          <w:p>
            <w:pPr>
              <w:pStyle w:val="TableContents"/>
              <w:bidi w:val="0"/>
              <w:spacing w:before="0" w:after="283"/>
              <w:jc w:val="both"/>
              <w:rPr/>
            </w:pPr>
            <w:r>
              <w:rPr/>
              <w:t> </w:t>
            </w:r>
          </w:p>
        </w:tc>
        <w:tc>
          <w:tcPr>
            <w:tcW w:w="47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60"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13.3</w:t>
            </w:r>
          </w:p>
        </w:tc>
        <w:tc>
          <w:tcPr>
            <w:tcW w:w="4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Bestyrelsen er bemyndiget til at beslutte, at generalforsamlinger afholdes fuldstændig eller delvis elektronisk.</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13.1</w:t>
            </w:r>
          </w:p>
        </w:tc>
        <w:tc>
          <w:tcPr>
            <w:tcW w:w="46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board of directors shall be authorised to determine that general meetings shall be held electronically whether in whole or in part.</w:t>
            </w:r>
          </w:p>
        </w:tc>
      </w:tr>
      <w:tr>
        <w:trPr/>
        <w:tc>
          <w:tcPr>
            <w:tcW w:w="395" w:type="dxa"/>
            <w:tcBorders/>
            <w:vAlign w:val="center"/>
          </w:tcPr>
          <w:p>
            <w:pPr>
              <w:pStyle w:val="TableContents"/>
              <w:bidi w:val="0"/>
              <w:spacing w:before="0" w:after="283"/>
              <w:jc w:val="both"/>
              <w:rPr/>
            </w:pPr>
            <w:r>
              <w:rPr/>
              <w:t> </w:t>
            </w:r>
          </w:p>
        </w:tc>
        <w:tc>
          <w:tcPr>
            <w:tcW w:w="47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60"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13.2</w:t>
            </w:r>
          </w:p>
        </w:tc>
        <w:tc>
          <w:tcPr>
            <w:tcW w:w="4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Bestyrelsen skal sørge for, at elektroniske generalforsamlinger afvikles på betryggende vis, og skal sikre, at det anvendte system er indrettet, så lovgivningens krav til afholdelse af generalforsamling opfyldes, herunder især aktionærernes adgang til at deltage i, ytre sig samt stemme på generalforsamlingen. Systemet skal gøre det muligt at fastslå, hvilke aktionærer der deltager, hvilken selskabskapital og stemmeret de repræsenterer samt resultatet af afstemninger.</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13.2</w:t>
            </w:r>
          </w:p>
        </w:tc>
        <w:tc>
          <w:tcPr>
            <w:tcW w:w="46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board of directors shall ensure that electronic general meetings are held in a secure manner and that the system used is so organised that legislative requirements for the holding of general meetings are complied with, including in particular shareholders’ right to attend, speak at and vote at the general meeting. The system shall make it possible to establish which shareholders are participating, the amount of the share capital and the voting rights they represent as well as the voting results.</w:t>
            </w:r>
          </w:p>
        </w:tc>
      </w:tr>
      <w:tr>
        <w:trPr/>
        <w:tc>
          <w:tcPr>
            <w:tcW w:w="395" w:type="dxa"/>
            <w:tcBorders/>
            <w:vAlign w:val="center"/>
          </w:tcPr>
          <w:p>
            <w:pPr>
              <w:pStyle w:val="TableContents"/>
              <w:bidi w:val="0"/>
              <w:spacing w:before="0" w:after="283"/>
              <w:jc w:val="both"/>
              <w:rPr/>
            </w:pPr>
            <w:r>
              <w:rPr/>
              <w:t> </w:t>
            </w:r>
          </w:p>
        </w:tc>
        <w:tc>
          <w:tcPr>
            <w:tcW w:w="47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60"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13.3</w:t>
            </w:r>
          </w:p>
        </w:tc>
        <w:tc>
          <w:tcPr>
            <w:tcW w:w="47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Via egen opkobling tilslutter aktionærerne sig et virtuelt forum, hvor generalforsamlingen afholdes. Bestyrelsen fastsætter de nærmere krav til de elektroniske systemer, som anvendes ved elektronisk generalforsamling.</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13.3</w:t>
            </w:r>
          </w:p>
        </w:tc>
        <w:tc>
          <w:tcPr>
            <w:tcW w:w="4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their own links the shareholders are connected to a virtual forum at which the general meeting is held. The board of directors shall determine the detailed requirements for the electronic systems used at an electronic general meeting.</w:t>
            </w:r>
          </w:p>
        </w:tc>
      </w:tr>
      <w:tr>
        <w:trPr/>
        <w:tc>
          <w:tcPr>
            <w:tcW w:w="395" w:type="dxa"/>
            <w:tcBorders/>
            <w:vAlign w:val="center"/>
          </w:tcPr>
          <w:p>
            <w:pPr>
              <w:pStyle w:val="TableContents"/>
              <w:bidi w:val="0"/>
              <w:spacing w:before="0" w:after="283"/>
              <w:jc w:val="both"/>
              <w:rPr/>
            </w:pPr>
            <w:r>
              <w:rPr/>
              <w:t> </w:t>
            </w:r>
          </w:p>
        </w:tc>
        <w:tc>
          <w:tcPr>
            <w:tcW w:w="47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66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95"/>
        <w:gridCol w:w="5081"/>
        <w:gridCol w:w="60"/>
        <w:gridCol w:w="380"/>
        <w:gridCol w:w="4289"/>
      </w:tblGrid>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13.4</w:t>
            </w:r>
          </w:p>
        </w:tc>
        <w:tc>
          <w:tcPr>
            <w:tcW w:w="50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 indkaldelsen til den elektroniske generalforsamling angives de nærmere krav til det elektroniske udstyr, som skal anvendes ved deltagelse i generalforsamlingen. Ligeledes angives, hvorledes tilmelding sker, samt hvor aktionærerne kan finde oplysninger om fremgangsmåden i forbindelse med generalforsamlingen.</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13.4</w:t>
            </w:r>
          </w:p>
        </w:tc>
        <w:tc>
          <w:tcPr>
            <w:tcW w:w="4289" w:type="dxa"/>
            <w:tcBorders/>
            <w:vAlign w:val="center"/>
          </w:tcPr>
          <w:p>
            <w:pPr>
              <w:pStyle w:val="TableContents"/>
              <w:bidi w:val="0"/>
              <w:spacing w:before="0" w:after="283"/>
              <w:jc w:val="both"/>
              <w:rPr/>
            </w:pPr>
            <w:r>
              <w:rPr>
                <w:rFonts w:ascii="Times New Roman;Times;Serif" w:hAnsi="Times New Roman;Times;Serif"/>
                <w:sz w:val="20"/>
              </w:rPr>
              <w:t xml:space="preserve">The notice convening the electronic general meeting shall specify the detailed requirements for the electronic equipment </w:t>
            </w:r>
            <w:r>
              <w:rPr>
                <w:rFonts w:ascii="Times New Roman;Times;Serif" w:hAnsi="Times New Roman;Times;Serif"/>
              </w:rPr>
              <w:t>to be used in attending the general meeting. In addition, it shall specify how to register and where the shareholders can find information about the procedure used in connection with the general meeting.</w:t>
            </w:r>
          </w:p>
        </w:tc>
      </w:tr>
      <w:tr>
        <w:trPr/>
        <w:tc>
          <w:tcPr>
            <w:tcW w:w="395" w:type="dxa"/>
            <w:tcBorders/>
            <w:vAlign w:val="center"/>
          </w:tcPr>
          <w:p>
            <w:pPr>
              <w:pStyle w:val="TableContents"/>
              <w:bidi w:val="0"/>
              <w:spacing w:before="0" w:after="283"/>
              <w:jc w:val="both"/>
              <w:rPr/>
            </w:pPr>
            <w:r>
              <w:rPr/>
              <w:t> </w:t>
            </w:r>
          </w:p>
        </w:tc>
        <w:tc>
          <w:tcPr>
            <w:tcW w:w="508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289"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5081"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- 0 -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289"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- 0</w:t>
            </w:r>
          </w:p>
        </w:tc>
      </w:tr>
      <w:tr>
        <w:trPr/>
        <w:tc>
          <w:tcPr>
            <w:tcW w:w="395" w:type="dxa"/>
            <w:tcBorders/>
            <w:vAlign w:val="center"/>
          </w:tcPr>
          <w:p>
            <w:pPr>
              <w:pStyle w:val="TableContents"/>
              <w:bidi w:val="0"/>
              <w:spacing w:before="0" w:after="283"/>
              <w:jc w:val="both"/>
              <w:rPr/>
            </w:pPr>
            <w:r>
              <w:rPr/>
              <w:t> </w:t>
            </w:r>
          </w:p>
        </w:tc>
        <w:tc>
          <w:tcPr>
            <w:tcW w:w="508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289"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5081" w:type="dxa"/>
            <w:tcBorders/>
            <w:vAlign w:val="center"/>
          </w:tcPr>
          <w:p>
            <w:pPr>
              <w:pStyle w:val="TableContents"/>
              <w:bidi w:val="0"/>
              <w:spacing w:before="0" w:after="0"/>
              <w:ind w:left="0" w:right="0" w:hanging="0"/>
              <w:jc w:val="center"/>
              <w:rPr>
                <w:sz w:val="20"/>
              </w:rPr>
            </w:pPr>
            <w:r>
              <w:rPr>
                <w:sz w:val="20"/>
              </w:rPr>
              <w:t>24. august 2026</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289" w:type="dxa"/>
            <w:tcBorders/>
            <w:vAlign w:val="center"/>
          </w:tcPr>
          <w:p>
            <w:pPr>
              <w:pStyle w:val="TableContents"/>
              <w:bidi w:val="0"/>
              <w:spacing w:before="0" w:after="0"/>
              <w:ind w:left="0" w:right="0" w:hanging="0"/>
              <w:jc w:val="center"/>
              <w:rPr/>
            </w:pPr>
            <w:r>
              <w:rPr/>
              <w:t>24 August 2026</w:t>
            </w:r>
          </w:p>
        </w:tc>
      </w:tr>
      <w:tr>
        <w:trPr/>
        <w:tc>
          <w:tcPr>
            <w:tcW w:w="395" w:type="dxa"/>
            <w:tcBorders/>
            <w:vAlign w:val="center"/>
          </w:tcPr>
          <w:p>
            <w:pPr>
              <w:pStyle w:val="TableContents"/>
              <w:bidi w:val="0"/>
              <w:spacing w:before="0" w:after="283"/>
              <w:jc w:val="both"/>
              <w:rPr/>
            </w:pPr>
            <w:r>
              <w:rPr/>
              <w:t> </w:t>
            </w:r>
          </w:p>
        </w:tc>
        <w:tc>
          <w:tcPr>
            <w:tcW w:w="508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289"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both"/>
              <w:rPr/>
            </w:pPr>
            <w:r>
              <w:rPr/>
              <w:t> </w:t>
            </w:r>
          </w:p>
        </w:tc>
        <w:tc>
          <w:tcPr>
            <w:tcW w:w="50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Alle talangivelser i denne vedtægt er reguleret for aktiesplit fra nominelt kr. 2 til nominelt kr. 1 og for udstedelse af fondsaktier i forholdet 17:1 som besluttet af henholdsvis generalforsamlingen og bestyrelsen den 4. januar 2021.</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2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numbers in these articles of association have been adjusted to take into account share split from nominal DKK 2 to nominal DKK 1 and issuance of bonus shares in the ratio of 17-for-1 as resolved by respectively the general meeting and the board of directors on 4 January 2021.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BILAG 1 TIL VEDTÆGTER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1 TO ARTICLES OF ASSOCIATION</w:t>
      </w:r>
    </w:p>
    <w:p>
      <w:pPr>
        <w:pStyle w:val="TextBody"/>
        <w:bidi w:val="0"/>
        <w:spacing w:before="0" w:after="0"/>
        <w:ind w:left="0" w:right="0" w:hanging="0"/>
        <w:jc w:val="both"/>
        <w:rPr>
          <w:caps w:val="false"/>
          <w:smallCaps w:val="false"/>
        </w:rPr>
      </w:pPr>
      <w:r>
        <w:rPr>
          <w:caps w:val="false"/>
          <w:smallCaps w:val="false"/>
        </w:rPr>
        <w:t> </w:t>
      </w:r>
    </w:p>
    <w:tbl>
      <w:tblPr>
        <w:tblW w:w="5714" w:type="dxa"/>
        <w:jc w:val="left"/>
        <w:tblInd w:w="0" w:type="dxa"/>
        <w:tblLayout w:type="fixed"/>
        <w:tblCellMar>
          <w:top w:w="0" w:type="dxa"/>
          <w:left w:w="0" w:type="dxa"/>
          <w:bottom w:w="0" w:type="dxa"/>
          <w:right w:w="0" w:type="dxa"/>
        </w:tblCellMar>
      </w:tblPr>
      <w:tblGrid>
        <w:gridCol w:w="665"/>
        <w:gridCol w:w="1985"/>
        <w:gridCol w:w="60"/>
        <w:gridCol w:w="861"/>
        <w:gridCol w:w="2143"/>
      </w:tblGrid>
      <w:tr>
        <w:trPr/>
        <w:tc>
          <w:tcPr>
            <w:tcW w:w="2650"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WARRANTAFTALE</w:t>
            </w:r>
          </w:p>
        </w:tc>
        <w:tc>
          <w:tcPr>
            <w:tcW w:w="60" w:type="dxa"/>
            <w:tcBorders/>
            <w:vAlign w:val="center"/>
          </w:tcPr>
          <w:p>
            <w:pPr>
              <w:pStyle w:val="TableContents"/>
              <w:bidi w:val="0"/>
              <w:spacing w:before="0" w:after="283"/>
              <w:jc w:val="both"/>
              <w:rPr/>
            </w:pPr>
            <w:r>
              <w:rPr/>
              <w:t> </w:t>
            </w:r>
          </w:p>
        </w:tc>
        <w:tc>
          <w:tcPr>
            <w:tcW w:w="3004"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WARRANT AGREEMENT</w:t>
            </w:r>
          </w:p>
        </w:tc>
      </w:tr>
      <w:tr>
        <w:trPr/>
        <w:tc>
          <w:tcPr>
            <w:tcW w:w="665" w:type="dxa"/>
            <w:tcBorders/>
            <w:vAlign w:val="center"/>
          </w:tcPr>
          <w:p>
            <w:pPr>
              <w:pStyle w:val="TableContents"/>
              <w:bidi w:val="0"/>
              <w:spacing w:before="0" w:after="283"/>
              <w:jc w:val="both"/>
              <w:rPr/>
            </w:pPr>
            <w:r>
              <w:rPr/>
              <w:t> </w:t>
            </w:r>
          </w:p>
        </w:tc>
        <w:tc>
          <w:tcPr>
            <w:tcW w:w="19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61" w:type="dxa"/>
            <w:tcBorders/>
            <w:vAlign w:val="center"/>
          </w:tcPr>
          <w:p>
            <w:pPr>
              <w:pStyle w:val="TableContents"/>
              <w:bidi w:val="0"/>
              <w:spacing w:before="0" w:after="283"/>
              <w:jc w:val="both"/>
              <w:rPr/>
            </w:pPr>
            <w:r>
              <w:rPr/>
              <w:t> </w:t>
            </w:r>
          </w:p>
        </w:tc>
        <w:tc>
          <w:tcPr>
            <w:tcW w:w="2143"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Mellem</w:t>
            </w:r>
          </w:p>
        </w:tc>
        <w:tc>
          <w:tcPr>
            <w:tcW w:w="1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Evaxion Biotech ApS</w:t>
            </w:r>
          </w:p>
        </w:tc>
        <w:tc>
          <w:tcPr>
            <w:tcW w:w="60" w:type="dxa"/>
            <w:tcBorders/>
            <w:vAlign w:val="center"/>
          </w:tcPr>
          <w:p>
            <w:pPr>
              <w:pStyle w:val="TableContents"/>
              <w:bidi w:val="0"/>
              <w:spacing w:before="0" w:after="283"/>
              <w:jc w:val="both"/>
              <w:rPr/>
            </w:pPr>
            <w:r>
              <w:rPr/>
              <w:t> </w:t>
            </w:r>
          </w:p>
        </w:tc>
        <w:tc>
          <w:tcPr>
            <w:tcW w:w="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Between</w:t>
            </w:r>
          </w:p>
        </w:tc>
        <w:tc>
          <w:tcPr>
            <w:tcW w:w="21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Evaxion Biotech ApS</w:t>
            </w:r>
          </w:p>
        </w:tc>
      </w:tr>
      <w:tr>
        <w:trPr/>
        <w:tc>
          <w:tcPr>
            <w:tcW w:w="665" w:type="dxa"/>
            <w:tcBorders/>
            <w:vAlign w:val="center"/>
          </w:tcPr>
          <w:p>
            <w:pPr>
              <w:pStyle w:val="TableContents"/>
              <w:bidi w:val="0"/>
              <w:spacing w:before="0" w:after="283"/>
              <w:jc w:val="both"/>
              <w:rPr/>
            </w:pPr>
            <w:r>
              <w:rPr/>
              <w:t> </w:t>
            </w:r>
          </w:p>
        </w:tc>
        <w:tc>
          <w:tcPr>
            <w:tcW w:w="1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Ole Maaløes Vej 3 2200</w:t>
            </w:r>
          </w:p>
        </w:tc>
        <w:tc>
          <w:tcPr>
            <w:tcW w:w="60" w:type="dxa"/>
            <w:tcBorders/>
            <w:vAlign w:val="center"/>
          </w:tcPr>
          <w:p>
            <w:pPr>
              <w:pStyle w:val="TableContents"/>
              <w:bidi w:val="0"/>
              <w:spacing w:before="0" w:after="283"/>
              <w:jc w:val="both"/>
              <w:rPr/>
            </w:pPr>
            <w:r>
              <w:rPr/>
              <w:t> </w:t>
            </w:r>
          </w:p>
        </w:tc>
        <w:tc>
          <w:tcPr>
            <w:tcW w:w="861" w:type="dxa"/>
            <w:tcBorders/>
            <w:vAlign w:val="center"/>
          </w:tcPr>
          <w:p>
            <w:pPr>
              <w:pStyle w:val="TableContents"/>
              <w:bidi w:val="0"/>
              <w:spacing w:before="0" w:after="283"/>
              <w:jc w:val="both"/>
              <w:rPr/>
            </w:pPr>
            <w:r>
              <w:rPr/>
              <w:t> </w:t>
            </w:r>
          </w:p>
        </w:tc>
        <w:tc>
          <w:tcPr>
            <w:tcW w:w="21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Ole Maaløes Vej 3</w:t>
            </w:r>
          </w:p>
        </w:tc>
      </w:tr>
      <w:tr>
        <w:trPr/>
        <w:tc>
          <w:tcPr>
            <w:tcW w:w="665" w:type="dxa"/>
            <w:tcBorders/>
            <w:vAlign w:val="center"/>
          </w:tcPr>
          <w:p>
            <w:pPr>
              <w:pStyle w:val="TableContents"/>
              <w:bidi w:val="0"/>
              <w:spacing w:before="0" w:after="283"/>
              <w:jc w:val="both"/>
              <w:rPr/>
            </w:pPr>
            <w:r>
              <w:rPr/>
              <w:t> </w:t>
            </w:r>
          </w:p>
        </w:tc>
        <w:tc>
          <w:tcPr>
            <w:tcW w:w="1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København N</w:t>
            </w:r>
          </w:p>
        </w:tc>
        <w:tc>
          <w:tcPr>
            <w:tcW w:w="60" w:type="dxa"/>
            <w:tcBorders/>
            <w:vAlign w:val="center"/>
          </w:tcPr>
          <w:p>
            <w:pPr>
              <w:pStyle w:val="TableContents"/>
              <w:bidi w:val="0"/>
              <w:spacing w:before="0" w:after="283"/>
              <w:jc w:val="both"/>
              <w:rPr/>
            </w:pPr>
            <w:r>
              <w:rPr/>
              <w:t> </w:t>
            </w:r>
          </w:p>
        </w:tc>
        <w:tc>
          <w:tcPr>
            <w:tcW w:w="861" w:type="dxa"/>
            <w:tcBorders/>
            <w:vAlign w:val="center"/>
          </w:tcPr>
          <w:p>
            <w:pPr>
              <w:pStyle w:val="TableContents"/>
              <w:bidi w:val="0"/>
              <w:spacing w:before="0" w:after="283"/>
              <w:jc w:val="both"/>
              <w:rPr/>
            </w:pPr>
            <w:r>
              <w:rPr/>
              <w:t> </w:t>
            </w:r>
          </w:p>
        </w:tc>
        <w:tc>
          <w:tcPr>
            <w:tcW w:w="21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2200 København N</w:t>
            </w:r>
          </w:p>
        </w:tc>
      </w:tr>
      <w:tr>
        <w:trPr/>
        <w:tc>
          <w:tcPr>
            <w:tcW w:w="665" w:type="dxa"/>
            <w:tcBorders/>
            <w:vAlign w:val="center"/>
          </w:tcPr>
          <w:p>
            <w:pPr>
              <w:pStyle w:val="TableContents"/>
              <w:bidi w:val="0"/>
              <w:spacing w:before="0" w:after="283"/>
              <w:jc w:val="both"/>
              <w:rPr/>
            </w:pPr>
            <w:r>
              <w:rPr/>
              <w:t> </w:t>
            </w:r>
          </w:p>
        </w:tc>
        <w:tc>
          <w:tcPr>
            <w:tcW w:w="19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61" w:type="dxa"/>
            <w:tcBorders/>
            <w:vAlign w:val="center"/>
          </w:tcPr>
          <w:p>
            <w:pPr>
              <w:pStyle w:val="TableContents"/>
              <w:bidi w:val="0"/>
              <w:spacing w:before="0" w:after="283"/>
              <w:jc w:val="both"/>
              <w:rPr/>
            </w:pPr>
            <w:r>
              <w:rPr/>
              <w:t> </w:t>
            </w:r>
          </w:p>
        </w:tc>
        <w:tc>
          <w:tcPr>
            <w:tcW w:w="2143"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og</w:t>
            </w:r>
          </w:p>
        </w:tc>
        <w:tc>
          <w:tcPr>
            <w:tcW w:w="1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[Navn]</w:t>
            </w:r>
          </w:p>
        </w:tc>
        <w:tc>
          <w:tcPr>
            <w:tcW w:w="60" w:type="dxa"/>
            <w:tcBorders/>
            <w:vAlign w:val="center"/>
          </w:tcPr>
          <w:p>
            <w:pPr>
              <w:pStyle w:val="TableContents"/>
              <w:bidi w:val="0"/>
              <w:spacing w:before="0" w:after="283"/>
              <w:jc w:val="both"/>
              <w:rPr/>
            </w:pPr>
            <w:r>
              <w:rPr/>
              <w:t> </w:t>
            </w:r>
          </w:p>
        </w:tc>
        <w:tc>
          <w:tcPr>
            <w:tcW w:w="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and</w:t>
            </w:r>
          </w:p>
        </w:tc>
        <w:tc>
          <w:tcPr>
            <w:tcW w:w="21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r>
      <w:tr>
        <w:trPr/>
        <w:tc>
          <w:tcPr>
            <w:tcW w:w="665" w:type="dxa"/>
            <w:tcBorders/>
            <w:vAlign w:val="center"/>
          </w:tcPr>
          <w:p>
            <w:pPr>
              <w:pStyle w:val="TableContents"/>
              <w:bidi w:val="0"/>
              <w:spacing w:before="0" w:after="283"/>
              <w:jc w:val="both"/>
              <w:rPr/>
            </w:pPr>
            <w:r>
              <w:rPr/>
              <w:t> </w:t>
            </w:r>
          </w:p>
        </w:tc>
        <w:tc>
          <w:tcPr>
            <w:tcW w:w="1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[Adresse]</w:t>
            </w:r>
          </w:p>
        </w:tc>
        <w:tc>
          <w:tcPr>
            <w:tcW w:w="60" w:type="dxa"/>
            <w:tcBorders/>
            <w:vAlign w:val="center"/>
          </w:tcPr>
          <w:p>
            <w:pPr>
              <w:pStyle w:val="TableContents"/>
              <w:bidi w:val="0"/>
              <w:spacing w:before="0" w:after="283"/>
              <w:jc w:val="both"/>
              <w:rPr/>
            </w:pPr>
            <w:r>
              <w:rPr/>
              <w:t> </w:t>
            </w:r>
          </w:p>
        </w:tc>
        <w:tc>
          <w:tcPr>
            <w:tcW w:w="861" w:type="dxa"/>
            <w:tcBorders/>
            <w:vAlign w:val="center"/>
          </w:tcPr>
          <w:p>
            <w:pPr>
              <w:pStyle w:val="TableContents"/>
              <w:bidi w:val="0"/>
              <w:spacing w:before="0" w:after="283"/>
              <w:jc w:val="both"/>
              <w:rPr/>
            </w:pPr>
            <w:r>
              <w:rPr/>
              <w:t> </w:t>
            </w:r>
          </w:p>
        </w:tc>
        <w:tc>
          <w:tcPr>
            <w:tcW w:w="21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w:t>
            </w:r>
          </w:p>
        </w:tc>
      </w:tr>
      <w:tr>
        <w:trPr/>
        <w:tc>
          <w:tcPr>
            <w:tcW w:w="665" w:type="dxa"/>
            <w:tcBorders/>
            <w:vAlign w:val="center"/>
          </w:tcPr>
          <w:p>
            <w:pPr>
              <w:pStyle w:val="TableContents"/>
              <w:bidi w:val="0"/>
              <w:spacing w:before="0" w:after="283"/>
              <w:jc w:val="both"/>
              <w:rPr/>
            </w:pPr>
            <w:r>
              <w:rPr/>
              <w:t> </w:t>
            </w:r>
          </w:p>
        </w:tc>
        <w:tc>
          <w:tcPr>
            <w:tcW w:w="1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[Adresse]</w:t>
            </w:r>
          </w:p>
        </w:tc>
        <w:tc>
          <w:tcPr>
            <w:tcW w:w="60" w:type="dxa"/>
            <w:tcBorders/>
            <w:vAlign w:val="center"/>
          </w:tcPr>
          <w:p>
            <w:pPr>
              <w:pStyle w:val="TableContents"/>
              <w:bidi w:val="0"/>
              <w:spacing w:before="0" w:after="283"/>
              <w:jc w:val="both"/>
              <w:rPr/>
            </w:pPr>
            <w:r>
              <w:rPr/>
              <w:t> </w:t>
            </w:r>
          </w:p>
        </w:tc>
        <w:tc>
          <w:tcPr>
            <w:tcW w:w="861" w:type="dxa"/>
            <w:tcBorders/>
            <w:vAlign w:val="center"/>
          </w:tcPr>
          <w:p>
            <w:pPr>
              <w:pStyle w:val="TableContents"/>
              <w:bidi w:val="0"/>
              <w:spacing w:before="0" w:after="283"/>
              <w:jc w:val="both"/>
              <w:rPr/>
            </w:pPr>
            <w:r>
              <w:rPr/>
              <w:t> </w:t>
            </w:r>
          </w:p>
        </w:tc>
        <w:tc>
          <w:tcPr>
            <w:tcW w:w="21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INDHOLDSFORTEGNELSE/TABLE OF CONTENTS</w:t>
      </w:r>
    </w:p>
    <w:p>
      <w:pPr>
        <w:pStyle w:val="TextBody"/>
        <w:bidi w:val="0"/>
        <w:spacing w:before="0" w:after="0"/>
        <w:ind w:left="0" w:right="0" w:hanging="0"/>
        <w:jc w:val="both"/>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245"/>
        <w:gridCol w:w="6245"/>
        <w:gridCol w:w="245"/>
      </w:tblGrid>
      <w:tr>
        <w:trPr/>
        <w:tc>
          <w:tcPr>
            <w:tcW w:w="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BAGGRUND OG OMFANG</w:t>
            </w:r>
          </w:p>
        </w:tc>
        <w:tc>
          <w:tcPr>
            <w:tcW w:w="245" w:type="dxa"/>
            <w:tcBorders/>
            <w:vAlign w:val="center"/>
          </w:tcPr>
          <w:p>
            <w:pPr>
              <w:pStyle w:val="TableContents"/>
              <w:bidi w:val="0"/>
              <w:spacing w:before="0" w:after="283"/>
              <w:jc w:val="right"/>
              <w:rPr/>
            </w:pPr>
            <w:r>
              <w:rPr/>
              <w:t>6</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BACKGROUND AND SCOPE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TILDELING AF WARRANTS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GRANT OF WARRANTS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TEGNINGSPRIS</w:t>
            </w:r>
          </w:p>
        </w:tc>
        <w:tc>
          <w:tcPr>
            <w:tcW w:w="245" w:type="dxa"/>
            <w:tcBorders/>
            <w:vAlign w:val="center"/>
          </w:tcPr>
          <w:p>
            <w:pPr>
              <w:pStyle w:val="TableContents"/>
              <w:bidi w:val="0"/>
              <w:spacing w:before="0" w:after="283"/>
              <w:jc w:val="right"/>
              <w:rPr/>
            </w:pPr>
            <w:r>
              <w:rPr/>
              <w:t>6</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SUBSCRIPTION PRICE</w:t>
            </w:r>
          </w:p>
        </w:tc>
        <w:tc>
          <w:tcPr>
            <w:tcW w:w="245" w:type="dxa"/>
            <w:tcBorders/>
            <w:vAlign w:val="center"/>
          </w:tcPr>
          <w:p>
            <w:pPr>
              <w:pStyle w:val="TableContents"/>
              <w:bidi w:val="0"/>
              <w:spacing w:before="0" w:after="283"/>
              <w:jc w:val="right"/>
              <w:rPr/>
            </w:pPr>
            <w:r>
              <w:rPr/>
              <w:t>6</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UDNYTTELSE AF WARRANTS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OF WARRANTS</w:t>
            </w:r>
          </w:p>
        </w:tc>
        <w:tc>
          <w:tcPr>
            <w:tcW w:w="245" w:type="dxa"/>
            <w:tcBorders/>
            <w:vAlign w:val="center"/>
          </w:tcPr>
          <w:p>
            <w:pPr>
              <w:pStyle w:val="TableContents"/>
              <w:bidi w:val="0"/>
              <w:spacing w:before="0" w:after="283"/>
              <w:jc w:val="right"/>
              <w:rPr/>
            </w:pPr>
            <w:r>
              <w:rPr/>
              <w:t>7</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VISSE BETINGELSER I RELATION TIL EXIT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CERTAIN CONDITIONS RELATING TO AN EXIT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OPSIGELSE AF ANSÆTTELSESFORHOLDET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TERMINATION OF EMPLOYMENT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ÆNDRING I RETSSTILLING ELLER SELSKABSKAPITAL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OF LEGAL STATUS OR SHARE CAPITAL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 AF KAPITALANDELE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SUBSCRIPTION OF SHARES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SKAT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TAX</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EJERAFTALE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SHAREHOLDERS'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OVERDRAGELSE AF WARRANTS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ASSIGNMENT OF WARRANTS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AFKALD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PANTSÆTNING AF KAPITALANDELE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PLEDGE OF SHARES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FULDMAGT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POWER OF ATTORNEY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TAVSHEDSPLIGT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CONFIDENTIALITY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w:t>
            </w:r>
          </w:p>
        </w:tc>
        <w:tc>
          <w:tcPr>
            <w:tcW w:w="6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LOVVALG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290"/>
        <w:gridCol w:w="5195"/>
        <w:gridCol w:w="24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p>
        </w:tc>
        <w:tc>
          <w:tcPr>
            <w:tcW w:w="519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GOVERNING LAW</w:t>
            </w: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p>
        </w:tc>
        <w:tc>
          <w:tcPr>
            <w:tcW w:w="519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TVISTER</w:t>
            </w: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p>
        </w:tc>
        <w:tc>
          <w:tcPr>
            <w:tcW w:w="519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DISPUTES</w:t>
            </w: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p>
        </w:tc>
        <w:tc>
          <w:tcPr>
            <w:tcW w:w="519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UNDERSKRIFT, HELE AFTALEN OG ÆNDRINGER HERTIL</w:t>
            </w: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p>
        </w:tc>
        <w:tc>
          <w:tcPr>
            <w:tcW w:w="519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SIGNATURES, ENTIRE AGREEMENT, AND AMENDMENTS</w:t>
            </w: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bl>
    <w:p>
      <w:pPr>
        <w:pStyle w:val="TextBody"/>
        <w:bidi w:val="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5020" w:type="dxa"/>
        <w:jc w:val="left"/>
        <w:tblInd w:w="0" w:type="dxa"/>
        <w:tblLayout w:type="fixed"/>
        <w:tblCellMar>
          <w:top w:w="0" w:type="dxa"/>
          <w:left w:w="0" w:type="dxa"/>
          <w:bottom w:w="0" w:type="dxa"/>
          <w:right w:w="0" w:type="dxa"/>
        </w:tblCellMar>
      </w:tblPr>
      <w:tblGrid>
        <w:gridCol w:w="2075"/>
        <w:gridCol w:w="2945"/>
      </w:tblGrid>
      <w:tr>
        <w:trPr/>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BILAGSFORTEGNELSE</w:t>
            </w:r>
          </w:p>
        </w:tc>
        <w:tc>
          <w:tcPr>
            <w:tcW w:w="2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INDEX OF</w:t>
            </w:r>
          </w:p>
        </w:tc>
      </w:tr>
      <w:tr>
        <w:trPr/>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c>
          <w:tcPr>
            <w:tcW w:w="2945" w:type="dxa"/>
            <w:tcBorders/>
            <w:vAlign w:val="center"/>
          </w:tcPr>
          <w:p>
            <w:pPr>
              <w:pStyle w:val="TableContents"/>
              <w:bidi w:val="0"/>
              <w:spacing w:before="0" w:after="283"/>
              <w:jc w:val="both"/>
              <w:rPr/>
            </w:pPr>
            <w:r>
              <w:rPr/>
              <w:t> </w:t>
            </w:r>
          </w:p>
        </w:tc>
      </w:tr>
      <w:tr>
        <w:trPr/>
        <w:tc>
          <w:tcPr>
            <w:tcW w:w="2075" w:type="dxa"/>
            <w:tcBorders/>
            <w:vAlign w:val="center"/>
          </w:tcPr>
          <w:p>
            <w:pPr>
              <w:pStyle w:val="TableContents"/>
              <w:bidi w:val="0"/>
              <w:spacing w:before="0" w:after="283"/>
              <w:jc w:val="both"/>
              <w:rPr/>
            </w:pPr>
            <w:r>
              <w:rPr/>
              <w:t> </w:t>
            </w:r>
          </w:p>
        </w:tc>
        <w:tc>
          <w:tcPr>
            <w:tcW w:w="2945" w:type="dxa"/>
            <w:tcBorders/>
            <w:vAlign w:val="center"/>
          </w:tcPr>
          <w:p>
            <w:pPr>
              <w:pStyle w:val="TableContents"/>
              <w:bidi w:val="0"/>
              <w:spacing w:before="0" w:after="283"/>
              <w:jc w:val="both"/>
              <w:rPr/>
            </w:pPr>
            <w:r>
              <w:rPr/>
              <w:t> </w:t>
            </w:r>
          </w:p>
        </w:tc>
      </w:tr>
      <w:tr>
        <w:trPr/>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Bilag 1.2: Vedtægter</w:t>
            </w:r>
          </w:p>
        </w:tc>
        <w:tc>
          <w:tcPr>
            <w:tcW w:w="2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1.2: Articles of Association</w:t>
            </w:r>
          </w:p>
        </w:tc>
      </w:tr>
    </w:tbl>
    <w:p>
      <w:pPr>
        <w:pStyle w:val="TextBody"/>
        <w:bidi w:val="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278"/>
        <w:gridCol w:w="4965"/>
        <w:gridCol w:w="60"/>
        <w:gridCol w:w="249"/>
        <w:gridCol w:w="4653"/>
      </w:tblGrid>
      <w:tr>
        <w:trPr/>
        <w:tc>
          <w:tcPr>
            <w:tcW w:w="524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Der er den 31. december 2016 indgået følgende warrantaftale ("Aftalen") mellem:</w:t>
            </w:r>
          </w:p>
        </w:tc>
        <w:tc>
          <w:tcPr>
            <w:tcW w:w="60" w:type="dxa"/>
            <w:tcBorders/>
            <w:vAlign w:val="center"/>
          </w:tcPr>
          <w:p>
            <w:pPr>
              <w:pStyle w:val="TableContents"/>
              <w:bidi w:val="0"/>
              <w:spacing w:before="0" w:after="283"/>
              <w:jc w:val="both"/>
              <w:rPr/>
            </w:pPr>
            <w:r>
              <w:rPr/>
              <w:t> </w:t>
            </w:r>
          </w:p>
        </w:tc>
        <w:tc>
          <w:tcPr>
            <w:tcW w:w="490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Warrant Agreement (the "Agreement") is entered into on December 31, 2016 between:</w:t>
            </w:r>
          </w:p>
        </w:tc>
      </w:tr>
      <w:tr>
        <w:trPr/>
        <w:tc>
          <w:tcPr>
            <w:tcW w:w="27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w:t>
            </w:r>
          </w:p>
        </w:tc>
        <w:tc>
          <w:tcPr>
            <w:tcW w:w="4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Evaxion Biotech ApS, CVR-nr: 31 76 28 63, Ole Maaløes Vej 3, 2200 København N ("Selskabet")</w:t>
            </w:r>
          </w:p>
        </w:tc>
        <w:tc>
          <w:tcPr>
            <w:tcW w:w="60" w:type="dxa"/>
            <w:tcBorders/>
            <w:vAlign w:val="center"/>
          </w:tcPr>
          <w:p>
            <w:pPr>
              <w:pStyle w:val="TableContents"/>
              <w:bidi w:val="0"/>
              <w:spacing w:before="0" w:after="283"/>
              <w:jc w:val="both"/>
              <w:rPr/>
            </w:pPr>
            <w:r>
              <w:rPr/>
              <w:t> </w:t>
            </w:r>
          </w:p>
        </w:tc>
        <w:tc>
          <w:tcPr>
            <w:tcW w:w="2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46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Evaxion Biotech ApS, CVR no: 3176 28 63, Ole Maaløes Vej 3, 2200 København N (the "Company")</w:t>
            </w:r>
          </w:p>
        </w:tc>
      </w:tr>
      <w:tr>
        <w:trPr/>
        <w:tc>
          <w:tcPr>
            <w:tcW w:w="2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4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[Navn, CPR-nr., adresse]</w:t>
            </w:r>
            <w:r>
              <w:rPr>
                <w:rFonts w:ascii="Times New Roman;Times;Serif" w:hAnsi="Times New Roman;Times;Serif"/>
                <w:sz w:val="20"/>
              </w:rPr>
              <w:t xml:space="preserve"> ("Warrantindehaveren")</w:t>
            </w:r>
          </w:p>
        </w:tc>
        <w:tc>
          <w:tcPr>
            <w:tcW w:w="60" w:type="dxa"/>
            <w:tcBorders/>
            <w:vAlign w:val="center"/>
          </w:tcPr>
          <w:p>
            <w:pPr>
              <w:pStyle w:val="TableContents"/>
              <w:bidi w:val="0"/>
              <w:spacing w:before="0" w:after="283"/>
              <w:jc w:val="both"/>
              <w:rPr/>
            </w:pPr>
            <w:r>
              <w:rPr/>
              <w:t> </w:t>
            </w:r>
          </w:p>
        </w:tc>
        <w:tc>
          <w:tcPr>
            <w:tcW w:w="2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 </w:t>
            </w:r>
          </w:p>
        </w:tc>
        <w:tc>
          <w:tcPr>
            <w:tcW w:w="46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[Name, Civil Reg. No. (CPR), address]</w:t>
            </w:r>
            <w:r>
              <w:rPr>
                <w:rFonts w:ascii="Times New Roman;Times;Serif" w:hAnsi="Times New Roman;Times;Serif"/>
                <w:sz w:val="20"/>
              </w:rPr>
              <w:t xml:space="preserve"> (the "Warrantee")</w:t>
            </w:r>
          </w:p>
        </w:tc>
      </w:tr>
      <w:tr>
        <w:trPr/>
        <w:tc>
          <w:tcPr>
            <w:tcW w:w="278" w:type="dxa"/>
            <w:tcBorders/>
            <w:vAlign w:val="center"/>
          </w:tcPr>
          <w:p>
            <w:pPr>
              <w:pStyle w:val="TableContents"/>
              <w:bidi w:val="0"/>
              <w:spacing w:before="0" w:after="283"/>
              <w:jc w:val="both"/>
              <w:rPr/>
            </w:pPr>
            <w:r>
              <w:rPr/>
              <w:t> </w:t>
            </w:r>
          </w:p>
        </w:tc>
        <w:tc>
          <w:tcPr>
            <w:tcW w:w="4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Selskabet og Warrantindehaveren samlet benævnt "Parterne" og separat tillige en "Part"</w:t>
            </w:r>
          </w:p>
        </w:tc>
        <w:tc>
          <w:tcPr>
            <w:tcW w:w="60" w:type="dxa"/>
            <w:tcBorders/>
            <w:vAlign w:val="center"/>
          </w:tcPr>
          <w:p>
            <w:pPr>
              <w:pStyle w:val="TableContents"/>
              <w:bidi w:val="0"/>
              <w:spacing w:before="0" w:after="283"/>
              <w:jc w:val="both"/>
              <w:rPr/>
            </w:pPr>
            <w:r>
              <w:rPr/>
              <w:t> </w:t>
            </w:r>
          </w:p>
        </w:tc>
        <w:tc>
          <w:tcPr>
            <w:tcW w:w="249" w:type="dxa"/>
            <w:tcBorders/>
            <w:vAlign w:val="center"/>
          </w:tcPr>
          <w:p>
            <w:pPr>
              <w:pStyle w:val="TableContents"/>
              <w:bidi w:val="0"/>
              <w:spacing w:before="0" w:after="283"/>
              <w:jc w:val="both"/>
              <w:rPr/>
            </w:pPr>
            <w:r>
              <w:rPr/>
              <w:t> </w:t>
            </w:r>
          </w:p>
        </w:tc>
        <w:tc>
          <w:tcPr>
            <w:tcW w:w="46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the Company and the Warrantee hereinafter collectively referred to as the "Parties" and separately as a "Party"</w:t>
            </w:r>
          </w:p>
        </w:tc>
      </w:tr>
      <w:tr>
        <w:trPr/>
        <w:tc>
          <w:tcPr>
            <w:tcW w:w="524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EFTERSOM</w:t>
            </w:r>
          </w:p>
        </w:tc>
        <w:tc>
          <w:tcPr>
            <w:tcW w:w="60" w:type="dxa"/>
            <w:tcBorders/>
            <w:vAlign w:val="center"/>
          </w:tcPr>
          <w:p>
            <w:pPr>
              <w:pStyle w:val="TableContents"/>
              <w:bidi w:val="0"/>
              <w:spacing w:before="0" w:after="283"/>
              <w:jc w:val="both"/>
              <w:rPr/>
            </w:pPr>
            <w:r>
              <w:rPr/>
              <w:t> </w:t>
            </w:r>
          </w:p>
        </w:tc>
        <w:tc>
          <w:tcPr>
            <w:tcW w:w="490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WHEREAS</w:t>
            </w:r>
          </w:p>
        </w:tc>
      </w:tr>
      <w:tr>
        <w:trPr/>
        <w:tc>
          <w:tcPr>
            <w:tcW w:w="2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t>
            </w:r>
          </w:p>
        </w:tc>
        <w:tc>
          <w:tcPr>
            <w:tcW w:w="4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 er ansat af Selskabet</w:t>
            </w:r>
          </w:p>
        </w:tc>
        <w:tc>
          <w:tcPr>
            <w:tcW w:w="60" w:type="dxa"/>
            <w:tcBorders/>
            <w:vAlign w:val="center"/>
          </w:tcPr>
          <w:p>
            <w:pPr>
              <w:pStyle w:val="TableContents"/>
              <w:bidi w:val="0"/>
              <w:spacing w:before="0" w:after="283"/>
              <w:jc w:val="both"/>
              <w:rPr/>
            </w:pPr>
            <w:r>
              <w:rPr/>
              <w:t> </w:t>
            </w:r>
          </w:p>
        </w:tc>
        <w:tc>
          <w:tcPr>
            <w:tcW w:w="2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46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Warrantee is employed by the Company</w:t>
            </w:r>
          </w:p>
        </w:tc>
      </w:tr>
      <w:tr>
        <w:trPr/>
        <w:tc>
          <w:tcPr>
            <w:tcW w:w="2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w:t>
            </w:r>
          </w:p>
        </w:tc>
        <w:tc>
          <w:tcPr>
            <w:tcW w:w="4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ønsker at motivere Warrantindehaveren ved at tildele et vist antal warrants til Warrantindehaveren.</w:t>
            </w:r>
          </w:p>
        </w:tc>
        <w:tc>
          <w:tcPr>
            <w:tcW w:w="60" w:type="dxa"/>
            <w:tcBorders/>
            <w:vAlign w:val="center"/>
          </w:tcPr>
          <w:p>
            <w:pPr>
              <w:pStyle w:val="TableContents"/>
              <w:bidi w:val="0"/>
              <w:spacing w:before="0" w:after="283"/>
              <w:jc w:val="both"/>
              <w:rPr/>
            </w:pPr>
            <w:r>
              <w:rPr/>
              <w:t> </w:t>
            </w:r>
          </w:p>
        </w:tc>
        <w:tc>
          <w:tcPr>
            <w:tcW w:w="2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46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wishes to incentivise the Warrantee by granting certain warrants to the Warrantee.</w:t>
            </w:r>
          </w:p>
        </w:tc>
      </w:tr>
      <w:tr>
        <w:trPr/>
        <w:tc>
          <w:tcPr>
            <w:tcW w:w="524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HAR PARTERNE VEDTAGET FØLGENDE:</w:t>
            </w:r>
          </w:p>
        </w:tc>
        <w:tc>
          <w:tcPr>
            <w:tcW w:w="60" w:type="dxa"/>
            <w:tcBorders/>
            <w:vAlign w:val="center"/>
          </w:tcPr>
          <w:p>
            <w:pPr>
              <w:pStyle w:val="TableContents"/>
              <w:bidi w:val="0"/>
              <w:spacing w:before="0" w:after="283"/>
              <w:jc w:val="both"/>
              <w:rPr/>
            </w:pPr>
            <w:r>
              <w:rPr/>
              <w:t> </w:t>
            </w:r>
          </w:p>
        </w:tc>
        <w:tc>
          <w:tcPr>
            <w:tcW w:w="490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NOW IT IS HEREBY AGREED AS FOLLOWS:</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35"/>
        <w:gridCol w:w="4919"/>
        <w:gridCol w:w="60"/>
        <w:gridCol w:w="408"/>
        <w:gridCol w:w="4483"/>
      </w:tblGrid>
      <w:tr>
        <w:trPr/>
        <w:tc>
          <w:tcPr>
            <w:tcW w:w="3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1 </w:t>
            </w:r>
          </w:p>
        </w:tc>
        <w:tc>
          <w:tcPr>
            <w:tcW w:w="491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Baggrund og omfang</w:t>
            </w:r>
          </w:p>
        </w:tc>
        <w:tc>
          <w:tcPr>
            <w:tcW w:w="60" w:type="dxa"/>
            <w:tcBorders/>
            <w:vAlign w:val="center"/>
          </w:tcPr>
          <w:p>
            <w:pPr>
              <w:pStyle w:val="TableContents"/>
              <w:bidi w:val="0"/>
              <w:spacing w:before="0" w:after="283"/>
              <w:jc w:val="both"/>
              <w:rPr/>
            </w:pPr>
            <w:r>
              <w:rPr/>
              <w:t> </w:t>
            </w:r>
          </w:p>
        </w:tc>
        <w:tc>
          <w:tcPr>
            <w:tcW w:w="40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1 </w:t>
            </w:r>
          </w:p>
        </w:tc>
        <w:tc>
          <w:tcPr>
            <w:tcW w:w="448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Background and Scope</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4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Formålet med denne Aftale er at tildele Warrantindehaveren warrants i Selskabet for at sikre, at Selskabet og Warrantindehaveren har fælles interesser, og at begge Parter medvirker til at skabe den bedst mulige værdiudvikling i Selskabet.</w:t>
            </w:r>
          </w:p>
        </w:tc>
        <w:tc>
          <w:tcPr>
            <w:tcW w:w="60" w:type="dxa"/>
            <w:tcBorders/>
            <w:vAlign w:val="center"/>
          </w:tcPr>
          <w:p>
            <w:pPr>
              <w:pStyle w:val="TableContents"/>
              <w:bidi w:val="0"/>
              <w:spacing w:before="0" w:after="283"/>
              <w:jc w:val="both"/>
              <w:rPr/>
            </w:pPr>
            <w:r>
              <w:rPr/>
              <w:t> </w:t>
            </w:r>
          </w:p>
        </w:tc>
        <w:tc>
          <w:tcPr>
            <w:tcW w:w="489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purpose of this Agreement is to grant the Warrantee warrants in the Company in order to ensure that the Company and the Warrantee have aligned interests and that both Parties are working to ensure that the value of the Company develops in the best possible way.</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1.2 </w:t>
            </w:r>
          </w:p>
        </w:tc>
        <w:tc>
          <w:tcPr>
            <w:tcW w:w="4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Selskabets vedtægter er vedlagt denne Aftale som </w:t>
            </w:r>
            <w:r>
              <w:rPr>
                <w:rFonts w:ascii="Times New Roman;Times;Serif" w:hAnsi="Times New Roman;Times;Serif"/>
                <w:sz w:val="20"/>
                <w:u w:val="single"/>
              </w:rPr>
              <w:t>bilag 1.2</w:t>
            </w:r>
            <w:r>
              <w:rPr>
                <w:rFonts w:ascii="Times New Roman;Times;Serif" w:hAnsi="Times New Roman;Times;Serif"/>
                <w:sz w:val="20"/>
              </w:rPr>
              <w:t>. Warrantindehaveren accepterer hermed alle fremtidige ændringer i Selskabets vedtægter.</w:t>
            </w:r>
          </w:p>
        </w:tc>
        <w:tc>
          <w:tcPr>
            <w:tcW w:w="60" w:type="dxa"/>
            <w:tcBorders/>
            <w:vAlign w:val="center"/>
          </w:tcPr>
          <w:p>
            <w:pPr>
              <w:pStyle w:val="TableContents"/>
              <w:bidi w:val="0"/>
              <w:spacing w:before="0" w:after="283"/>
              <w:jc w:val="both"/>
              <w:rPr/>
            </w:pPr>
            <w:r>
              <w:rPr/>
              <w:t> </w:t>
            </w:r>
          </w:p>
        </w:tc>
        <w:tc>
          <w:tcPr>
            <w:tcW w:w="489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Company's articles of association are attached hereto as </w:t>
            </w:r>
            <w:r>
              <w:rPr>
                <w:rFonts w:ascii="Times New Roman;Times;Serif" w:hAnsi="Times New Roman;Times;Serif"/>
                <w:sz w:val="20"/>
                <w:u w:val="single"/>
              </w:rPr>
              <w:t>Exhibit 1.2</w:t>
            </w:r>
            <w:r>
              <w:rPr>
                <w:rFonts w:ascii="Times New Roman;Times;Serif" w:hAnsi="Times New Roman;Times;Serif"/>
                <w:sz w:val="20"/>
              </w:rPr>
              <w:t>. The Warrantee hereby accepts all future changes to the Company's articles of association.</w:t>
            </w:r>
          </w:p>
        </w:tc>
      </w:tr>
      <w:tr>
        <w:trPr/>
        <w:tc>
          <w:tcPr>
            <w:tcW w:w="3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2 </w:t>
            </w:r>
          </w:p>
        </w:tc>
        <w:tc>
          <w:tcPr>
            <w:tcW w:w="491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Tildeling af warrants</w:t>
            </w:r>
          </w:p>
        </w:tc>
        <w:tc>
          <w:tcPr>
            <w:tcW w:w="60" w:type="dxa"/>
            <w:tcBorders/>
            <w:vAlign w:val="center"/>
          </w:tcPr>
          <w:p>
            <w:pPr>
              <w:pStyle w:val="TableContents"/>
              <w:bidi w:val="0"/>
              <w:spacing w:before="0" w:after="283"/>
              <w:jc w:val="both"/>
              <w:rPr/>
            </w:pPr>
            <w:r>
              <w:rPr/>
              <w:t> </w:t>
            </w:r>
          </w:p>
        </w:tc>
        <w:tc>
          <w:tcPr>
            <w:tcW w:w="40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2 </w:t>
            </w:r>
          </w:p>
        </w:tc>
        <w:tc>
          <w:tcPr>
            <w:tcW w:w="448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Grant of Warrants</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2.1 </w:t>
            </w:r>
          </w:p>
        </w:tc>
        <w:tc>
          <w:tcPr>
            <w:tcW w:w="4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betingelserne i denne Aftale udsteder Selskabet hermed, og Warrantindehaveren modtager [</w:t>
            </w:r>
            <w:r>
              <w:rPr>
                <w:rFonts w:ascii="Symbol" w:hAnsi="Symbol"/>
                <w:sz w:val="20"/>
              </w:rPr>
              <w:t>·</w:t>
            </w:r>
            <w:r>
              <w:rPr>
                <w:rFonts w:ascii="Times New Roman;Times;Serif" w:hAnsi="Times New Roman;Times;Serif"/>
                <w:sz w:val="20"/>
              </w:rPr>
              <w:t>] warrants i Selskabet til Warrantindehaveren ("Warrants").</w:t>
            </w:r>
          </w:p>
        </w:tc>
        <w:tc>
          <w:tcPr>
            <w:tcW w:w="60" w:type="dxa"/>
            <w:tcBorders/>
            <w:vAlign w:val="center"/>
          </w:tcPr>
          <w:p>
            <w:pPr>
              <w:pStyle w:val="TableContents"/>
              <w:bidi w:val="0"/>
              <w:spacing w:before="0" w:after="283"/>
              <w:jc w:val="both"/>
              <w:rPr/>
            </w:pPr>
            <w:r>
              <w:rPr/>
              <w:t> </w:t>
            </w:r>
          </w:p>
        </w:tc>
        <w:tc>
          <w:tcPr>
            <w:tcW w:w="489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terms and conditions set out in this Agreement, the Company hereby issues and the Warrantee receives [</w:t>
            </w:r>
            <w:r>
              <w:rPr>
                <w:rFonts w:ascii="Symbol" w:hAnsi="Symbol"/>
                <w:sz w:val="20"/>
              </w:rPr>
              <w:t>·</w:t>
            </w:r>
            <w:r>
              <w:rPr>
                <w:rFonts w:ascii="Times New Roman;Times;Serif" w:hAnsi="Times New Roman;Times;Serif"/>
                <w:sz w:val="20"/>
              </w:rPr>
              <w:t>] warrants in the Company to the Warrantee (the "Warrants").</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2.2 </w:t>
            </w:r>
          </w:p>
        </w:tc>
        <w:tc>
          <w:tcPr>
            <w:tcW w:w="4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Hver Warrant giver Warrantindehaveren ret, men ikke pligt, til at tegne én kapitalandel à nominelt kr. 1 i Selskabet.</w:t>
            </w:r>
          </w:p>
        </w:tc>
        <w:tc>
          <w:tcPr>
            <w:tcW w:w="60" w:type="dxa"/>
            <w:tcBorders/>
            <w:vAlign w:val="center"/>
          </w:tcPr>
          <w:p>
            <w:pPr>
              <w:pStyle w:val="TableContents"/>
              <w:bidi w:val="0"/>
              <w:spacing w:before="0" w:after="283"/>
              <w:jc w:val="both"/>
              <w:rPr/>
            </w:pPr>
            <w:r>
              <w:rPr/>
              <w:t> </w:t>
            </w:r>
          </w:p>
        </w:tc>
        <w:tc>
          <w:tcPr>
            <w:tcW w:w="489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Warrant shall provide the Warrantee with a right, but not an obligation, to subscribe for one share with a nominal value of DKK 1 in the Company.</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2.3 </w:t>
            </w:r>
          </w:p>
        </w:tc>
        <w:tc>
          <w:tcPr>
            <w:tcW w:w="4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tildeles vederlagsfrit.</w:t>
            </w:r>
          </w:p>
        </w:tc>
        <w:tc>
          <w:tcPr>
            <w:tcW w:w="60" w:type="dxa"/>
            <w:tcBorders/>
            <w:vAlign w:val="center"/>
          </w:tcPr>
          <w:p>
            <w:pPr>
              <w:pStyle w:val="TableContents"/>
              <w:bidi w:val="0"/>
              <w:spacing w:before="0" w:after="283"/>
              <w:jc w:val="both"/>
              <w:rPr/>
            </w:pPr>
            <w:r>
              <w:rPr/>
              <w:t> </w:t>
            </w:r>
          </w:p>
        </w:tc>
        <w:tc>
          <w:tcPr>
            <w:tcW w:w="489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are granted free of charge.</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2.4 </w:t>
            </w:r>
          </w:p>
        </w:tc>
        <w:tc>
          <w:tcPr>
            <w:tcW w:w="4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giver ikke Warrantindehaveren kapitalejerrettigheder, som f.eks. fondskapitalandele, eller fortegningsret i tilfælde af en kapitalforhøjelse i Selskabet.</w:t>
            </w:r>
          </w:p>
        </w:tc>
        <w:tc>
          <w:tcPr>
            <w:tcW w:w="60" w:type="dxa"/>
            <w:tcBorders/>
            <w:vAlign w:val="center"/>
          </w:tcPr>
          <w:p>
            <w:pPr>
              <w:pStyle w:val="TableContents"/>
              <w:bidi w:val="0"/>
              <w:spacing w:before="0" w:after="283"/>
              <w:jc w:val="both"/>
              <w:rPr/>
            </w:pPr>
            <w:r>
              <w:rPr/>
              <w:t> </w:t>
            </w:r>
          </w:p>
        </w:tc>
        <w:tc>
          <w:tcPr>
            <w:tcW w:w="489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shall not entitle the Warrantee to any shareholder rights such as bonus shares or pre-emption rights in the event of a capital increase of the Company.</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2.5 </w:t>
            </w:r>
          </w:p>
        </w:tc>
        <w:tc>
          <w:tcPr>
            <w:tcW w:w="4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er forpligtet til at føre en fortegnelse over udstedte Warrants, som skal opbevares sammen med Selskabets ejerbog.</w:t>
            </w:r>
          </w:p>
        </w:tc>
        <w:tc>
          <w:tcPr>
            <w:tcW w:w="60" w:type="dxa"/>
            <w:tcBorders/>
            <w:vAlign w:val="center"/>
          </w:tcPr>
          <w:p>
            <w:pPr>
              <w:pStyle w:val="TableContents"/>
              <w:bidi w:val="0"/>
              <w:spacing w:before="0" w:after="283"/>
              <w:jc w:val="both"/>
              <w:rPr/>
            </w:pPr>
            <w:r>
              <w:rPr/>
              <w:t> </w:t>
            </w:r>
          </w:p>
        </w:tc>
        <w:tc>
          <w:tcPr>
            <w:tcW w:w="489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undertakes to keep and maintain a register of issued Warrants to be kept in connection with the Company's share register.</w:t>
            </w:r>
          </w:p>
        </w:tc>
      </w:tr>
      <w:tr>
        <w:trPr/>
        <w:tc>
          <w:tcPr>
            <w:tcW w:w="3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w:t>
            </w:r>
          </w:p>
        </w:tc>
        <w:tc>
          <w:tcPr>
            <w:tcW w:w="491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Tegningspris</w:t>
            </w:r>
          </w:p>
        </w:tc>
        <w:tc>
          <w:tcPr>
            <w:tcW w:w="60" w:type="dxa"/>
            <w:tcBorders/>
            <w:vAlign w:val="center"/>
          </w:tcPr>
          <w:p>
            <w:pPr>
              <w:pStyle w:val="TableContents"/>
              <w:bidi w:val="0"/>
              <w:spacing w:before="0" w:after="283"/>
              <w:jc w:val="both"/>
              <w:rPr/>
            </w:pPr>
            <w:r>
              <w:rPr/>
              <w:t> </w:t>
            </w:r>
          </w:p>
        </w:tc>
        <w:tc>
          <w:tcPr>
            <w:tcW w:w="40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3 </w:t>
            </w:r>
          </w:p>
        </w:tc>
        <w:tc>
          <w:tcPr>
            <w:tcW w:w="448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Subscription Price</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3.1 </w:t>
            </w:r>
          </w:p>
        </w:tc>
        <w:tc>
          <w:tcPr>
            <w:tcW w:w="4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Hver Warrant giver Warrantindehaveren ret til at tegne én kapitalandel à nominelt kr. 1 i Selskabet til en pris af kr. 1 ("Tegningsprisen").</w:t>
            </w:r>
          </w:p>
        </w:tc>
        <w:tc>
          <w:tcPr>
            <w:tcW w:w="60" w:type="dxa"/>
            <w:tcBorders/>
            <w:vAlign w:val="center"/>
          </w:tcPr>
          <w:p>
            <w:pPr>
              <w:pStyle w:val="TableContents"/>
              <w:bidi w:val="0"/>
              <w:spacing w:before="0" w:after="283"/>
              <w:jc w:val="both"/>
              <w:rPr/>
            </w:pPr>
            <w:r>
              <w:rPr/>
              <w:t> </w:t>
            </w:r>
          </w:p>
        </w:tc>
        <w:tc>
          <w:tcPr>
            <w:tcW w:w="489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Warrant gives the Warrantee the right to subscribe for one share with a nominal value of DKK 1 in the Company at a price of DKK 1 (the "Subscription Price").</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35"/>
        <w:gridCol w:w="5849"/>
        <w:gridCol w:w="60"/>
        <w:gridCol w:w="441"/>
        <w:gridCol w:w="3520"/>
      </w:tblGrid>
      <w:tr>
        <w:trPr/>
        <w:tc>
          <w:tcPr>
            <w:tcW w:w="3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w:t>
            </w:r>
          </w:p>
        </w:tc>
        <w:tc>
          <w:tcPr>
            <w:tcW w:w="584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Udnyttelse af Warrants</w:t>
            </w:r>
          </w:p>
        </w:tc>
        <w:tc>
          <w:tcPr>
            <w:tcW w:w="60" w:type="dxa"/>
            <w:tcBorders/>
            <w:vAlign w:val="center"/>
          </w:tcPr>
          <w:p>
            <w:pPr>
              <w:pStyle w:val="TableContents"/>
              <w:bidi w:val="0"/>
              <w:spacing w:before="0" w:after="283"/>
              <w:jc w:val="both"/>
              <w:rPr/>
            </w:pPr>
            <w:r>
              <w:rPr/>
              <w:t> </w:t>
            </w:r>
          </w:p>
        </w:tc>
        <w:tc>
          <w:tcPr>
            <w:tcW w:w="44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w:t>
            </w:r>
          </w:p>
        </w:tc>
        <w:tc>
          <w:tcPr>
            <w:tcW w:w="3520" w:type="dxa"/>
            <w:tcBorders/>
            <w:vAlign w:val="center"/>
          </w:tcPr>
          <w:p>
            <w:pPr>
              <w:pStyle w:val="TableContents"/>
              <w:bidi w:val="0"/>
              <w:spacing w:before="0" w:after="283"/>
              <w:jc w:val="both"/>
              <w:rPr>
                <w:b/>
              </w:rPr>
            </w:pPr>
            <w:r>
              <w:rPr>
                <w:b/>
              </w:rPr>
              <w:t>Exercise of Warrants</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5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 kan udnytte alle eller en del af Warrants (i) i forbindelse med en Exit (se punkt 4.2) eller (ii) på et tidspunkt, der fastsættes af Bestyrelsen (et "Vindue")</w:t>
            </w:r>
          </w:p>
        </w:tc>
        <w:tc>
          <w:tcPr>
            <w:tcW w:w="60" w:type="dxa"/>
            <w:tcBorders/>
            <w:vAlign w:val="center"/>
          </w:tcPr>
          <w:p>
            <w:pPr>
              <w:pStyle w:val="TableContents"/>
              <w:bidi w:val="0"/>
              <w:spacing w:before="0" w:after="283"/>
              <w:jc w:val="both"/>
              <w:rPr/>
            </w:pPr>
            <w:r>
              <w:rPr/>
              <w:t> </w:t>
            </w:r>
          </w:p>
        </w:tc>
        <w:tc>
          <w:tcPr>
            <w:tcW w:w="396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Warrantee may exercise all or part of the Warrants(i) in connection with an Exit (see Clause 4.2) or (ii) at any time determined by the Board (a "Window").</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5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"Exit" betyder (a) en ændring i ejerforholdene i Selskabet, hvorved en uafhængig tredjemand erhverver 50 % eller mere af selskabskapitalen i Selskabet eller kommer til at kontrollere mere end 50 % af stemmerne i Selskabet; (b) en børsnotering af Selskabets aktier; (c) salg eller overdragelse af samtlige eller en væsentlig del af Selskabet aktiver; (d) en fusion med Selskabet som det ophørende selskab; eller (e) en kombination af (a) - (d).</w:t>
            </w:r>
          </w:p>
        </w:tc>
        <w:tc>
          <w:tcPr>
            <w:tcW w:w="60" w:type="dxa"/>
            <w:tcBorders/>
            <w:vAlign w:val="center"/>
          </w:tcPr>
          <w:p>
            <w:pPr>
              <w:pStyle w:val="TableContents"/>
              <w:bidi w:val="0"/>
              <w:spacing w:before="0" w:after="283"/>
              <w:jc w:val="both"/>
              <w:rPr/>
            </w:pPr>
            <w:r>
              <w:rPr/>
              <w:t> </w:t>
            </w:r>
          </w:p>
        </w:tc>
        <w:tc>
          <w:tcPr>
            <w:tcW w:w="396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"Exit" shall mean (a) a change of control in the Company whereby any independent third party acquires 50% or more of the share capital in the Company or comes to control more than 50% of the votes in the Company; (b) an initial public offering of the Company's shares ("IPO"); (c) the sale or disposition of all or a material part of the Company's assets;(d) a merger whereby the Company is the discontinuing entity; or (e) a combination of (a) - (d) above.</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4.3 </w:t>
            </w:r>
          </w:p>
        </w:tc>
        <w:tc>
          <w:tcPr>
            <w:tcW w:w="5849" w:type="dxa"/>
            <w:tcBorders/>
            <w:vAlign w:val="center"/>
          </w:tcPr>
          <w:p>
            <w:pPr>
              <w:pStyle w:val="TableContents"/>
              <w:bidi w:val="0"/>
              <w:spacing w:before="0" w:after="283"/>
              <w:jc w:val="both"/>
              <w:rPr/>
            </w:pPr>
            <w:r>
              <w:rPr/>
              <w:t>I tilfælde af en Exit skal Selskabet udstede en skriftlig meddelelse herom ("Meddelelse om Exit") til Warrantindehaveren. Meddelelsen om Exit skal indeholde relevante oplysninger om fremgangsmåden, bilagt en formular til meddelelse om udnyttelse ("Udnyttelsesmeddelelsen") samt eventuelt en yderligere forpligtelseserklæring, som Selskabet efter eget skøn måtteforlange (f.eks. tiltrædelsesdokument til en aftale om køb og salg af anparter eller lignende forpligtelser til overdragelse af anparter, der er tegnet ved udnyttelse af Warrants), og som skal underskrives af Warrantindehaveren ("Yderligere Forpligtelseserklæring").</w:t>
            </w:r>
          </w:p>
        </w:tc>
        <w:tc>
          <w:tcPr>
            <w:tcW w:w="60" w:type="dxa"/>
            <w:tcBorders/>
            <w:vAlign w:val="center"/>
          </w:tcPr>
          <w:p>
            <w:pPr>
              <w:pStyle w:val="TableContents"/>
              <w:bidi w:val="0"/>
              <w:spacing w:before="0" w:after="283"/>
              <w:jc w:val="both"/>
              <w:rPr/>
            </w:pPr>
            <w:r>
              <w:rPr/>
              <w:t> </w:t>
            </w:r>
          </w:p>
        </w:tc>
        <w:tc>
          <w:tcPr>
            <w:tcW w:w="396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of an Exit, the Company shall issue a written notice of Exit ("Exit Notice") to the Warrantee. The Exit Notice shall include relevant information on the process and be accompanied by a form of exercise notice (the "Exercise Notice") together with any supplementary undertakings as may be required by the Company at its discretion (for instance adherence documentation to a share sale and purchase agreement or similar undertakings to transfer the shares subscribed for by exercise of the Warrants) to be signed by the Warrantee (the "Supplementary Undertakings").</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4.4 </w:t>
            </w:r>
          </w:p>
        </w:tc>
        <w:tc>
          <w:tcPr>
            <w:tcW w:w="5849" w:type="dxa"/>
            <w:tcBorders/>
            <w:vAlign w:val="center"/>
          </w:tcPr>
          <w:p>
            <w:pPr>
              <w:pStyle w:val="TableContents"/>
              <w:bidi w:val="0"/>
              <w:spacing w:before="0" w:after="283"/>
              <w:jc w:val="both"/>
              <w:rPr/>
            </w:pPr>
            <w:r>
              <w:rPr/>
              <w:t>Meddelelse om udnyttelse af Warrants finder sted, ved at Warrantindehaveren fremsender "Udnyttelsesmeddelelsen" til Selskabet med oplysning om det ønskede antal kapitalandele samt en eventuel Yderligere Forpligtelseserklæring. Samtidig med fremsendelsen af Udnyttelsesmeddelelsen og eventuelt Yderligere Forpligtelseserklæring skal Warrantindehaveren betale et kontant beløb til Selskabet svarende til det relevante tegningsbeløb.</w:t>
            </w:r>
          </w:p>
        </w:tc>
        <w:tc>
          <w:tcPr>
            <w:tcW w:w="60" w:type="dxa"/>
            <w:tcBorders/>
            <w:vAlign w:val="center"/>
          </w:tcPr>
          <w:p>
            <w:pPr>
              <w:pStyle w:val="TableContents"/>
              <w:bidi w:val="0"/>
              <w:spacing w:before="0" w:after="283"/>
              <w:jc w:val="both"/>
              <w:rPr/>
            </w:pPr>
            <w:r>
              <w:rPr/>
              <w:t> </w:t>
            </w:r>
          </w:p>
        </w:tc>
        <w:tc>
          <w:tcPr>
            <w:tcW w:w="396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Notification of exercise of the Warrants takes place by the Warrantee's submission to the Company of the Exercise Notice stating the number of shares requested together with any Supplementary Undertakings. At the same time of submitting the Exercise Notice and any Supplementary Undertakings, the Warrantee shall pay in cash to the Company an amount equal to the relevant subscription amount.</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440"/>
        <w:gridCol w:w="5115"/>
        <w:gridCol w:w="60"/>
        <w:gridCol w:w="4590"/>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4.5</w:t>
            </w:r>
          </w:p>
        </w:tc>
        <w:tc>
          <w:tcPr>
            <w:tcW w:w="5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Medmindre Selskabet bestemmer andet, vil samtlige Warrants automatisk bortfalde uden yderligere varsel og uden kompensation, hvis en Udnyttelsesmeddelelse og en eventuel Yderligere Forpligtelseserklæring samt betaling af det relevante tegningsbeløb ikke er fremsendt senest to uger efter datoen for Meddelelsen om Exit.</w:t>
            </w:r>
          </w:p>
        </w:tc>
        <w:tc>
          <w:tcPr>
            <w:tcW w:w="60" w:type="dxa"/>
            <w:tcBorders/>
            <w:vAlign w:val="center"/>
          </w:tcPr>
          <w:p>
            <w:pPr>
              <w:pStyle w:val="TableContents"/>
              <w:bidi w:val="0"/>
              <w:spacing w:before="0" w:after="283"/>
              <w:jc w:val="both"/>
              <w:rPr/>
            </w:pPr>
            <w:r>
              <w:rPr/>
              <w:t> </w:t>
            </w:r>
          </w:p>
        </w:tc>
        <w:tc>
          <w:tcPr>
            <w:tcW w:w="45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Unlesss otherwise decided by the Company, if an Exercise Notice and any Supplementary Undertakings together with payment of the relevant subscription amount is not submitted no later than two (2) weeks from the date of the Exit Notice, all Warrants shall automatically and without further notice or compensation lapse and become null and void.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4.6</w:t>
            </w:r>
          </w:p>
        </w:tc>
        <w:tc>
          <w:tcPr>
            <w:tcW w:w="5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der ikke udnyttes i forbindelse med en Exit, vil automatisk bortfalde uden kompensation efter gennemførelsen af den relevante begivenhed.</w:t>
            </w:r>
          </w:p>
        </w:tc>
        <w:tc>
          <w:tcPr>
            <w:tcW w:w="60" w:type="dxa"/>
            <w:tcBorders/>
            <w:vAlign w:val="center"/>
          </w:tcPr>
          <w:p>
            <w:pPr>
              <w:pStyle w:val="TableContents"/>
              <w:bidi w:val="0"/>
              <w:spacing w:before="0" w:after="283"/>
              <w:jc w:val="both"/>
              <w:rPr/>
            </w:pPr>
            <w:r>
              <w:rPr/>
              <w:t> </w:t>
            </w:r>
          </w:p>
        </w:tc>
        <w:tc>
          <w:tcPr>
            <w:tcW w:w="45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Warrants that are not exercised in connection with an Exit shall automatically become void without compensation, following the completion of the relevant event.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4.7</w:t>
            </w:r>
          </w:p>
        </w:tc>
        <w:tc>
          <w:tcPr>
            <w:tcW w:w="5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Såfremt der efter Meddelelsen om Exit ikke sker en endelig gennemførelse af Exit, beholder Warrantindehaveren sine Warrants i henhold til vilkårene i denne Aftale. Hvis Warrantindehaveren har tegnet kapitalandele i Selskabet gennem udnyttelse af Warrants, og disse nye kapitalandele er blevet registreret i Erhvervsstyrelsen, beholder Warrantindehaveren de tegnede kapitalandele, uanset at den bebudede Exit ikke er endeligt gennemført, og de udnyttede Warrants skal ikke tilbageføres. Både Selskabet og Warrantindehaveren har dog ret til efter eget skøn at forlange, at Selskabet tilbagekøber de erhvervede kapitalandele til Tegningsprisen.</w:t>
            </w:r>
          </w:p>
        </w:tc>
        <w:tc>
          <w:tcPr>
            <w:tcW w:w="60" w:type="dxa"/>
            <w:tcBorders/>
            <w:vAlign w:val="center"/>
          </w:tcPr>
          <w:p>
            <w:pPr>
              <w:pStyle w:val="TableContents"/>
              <w:bidi w:val="0"/>
              <w:spacing w:before="0" w:after="283"/>
              <w:jc w:val="both"/>
              <w:rPr/>
            </w:pPr>
            <w:r>
              <w:rPr/>
              <w:t> </w:t>
            </w:r>
          </w:p>
        </w:tc>
        <w:tc>
          <w:tcPr>
            <w:tcW w:w="45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 Exit is not finally completed following an Exit Notice, the Warrantee's right to the Warrants as set out in the Agreement shall be retained. In the event that shares have been sub- scribed for in the Company by exercise of Warrants and such new shares have been registered with the Danish Business Authority, the shares subscribed for shall be retained notwithstanding a notified Exit is not finally completed and the exercised Warrants shall not be reversed; however, both the Company and the Warrantee may on a discretionary basis request that the Company shall repurchase the shares acquired at the Subscription Price.</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4.8</w:t>
            </w:r>
          </w:p>
        </w:tc>
        <w:tc>
          <w:tcPr>
            <w:tcW w:w="5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Såfremt der oprettes et Vindue, skal punkt 4.3 - 4.5 samtidig være gældende.</w:t>
            </w:r>
          </w:p>
        </w:tc>
        <w:tc>
          <w:tcPr>
            <w:tcW w:w="60" w:type="dxa"/>
            <w:tcBorders/>
            <w:vAlign w:val="center"/>
          </w:tcPr>
          <w:p>
            <w:pPr>
              <w:pStyle w:val="TableContents"/>
              <w:bidi w:val="0"/>
              <w:spacing w:before="0" w:after="283"/>
              <w:jc w:val="both"/>
              <w:rPr/>
            </w:pPr>
            <w:r>
              <w:rPr/>
              <w:t> </w:t>
            </w:r>
          </w:p>
        </w:tc>
        <w:tc>
          <w:tcPr>
            <w:tcW w:w="45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 Window is established, Clauses 4.3 - 4.5 shall apply simultaneously.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4.9</w:t>
            </w:r>
          </w:p>
        </w:tc>
        <w:tc>
          <w:tcPr>
            <w:tcW w:w="5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der ikke udnyttes i forbindelse med et Vindue, bortfalder automatisk uden kompensation.</w:t>
            </w:r>
          </w:p>
        </w:tc>
        <w:tc>
          <w:tcPr>
            <w:tcW w:w="60" w:type="dxa"/>
            <w:tcBorders/>
            <w:vAlign w:val="center"/>
          </w:tcPr>
          <w:p>
            <w:pPr>
              <w:pStyle w:val="TableContents"/>
              <w:bidi w:val="0"/>
              <w:spacing w:before="0" w:after="283"/>
              <w:jc w:val="both"/>
              <w:rPr/>
            </w:pPr>
            <w:r>
              <w:rPr/>
              <w:t> </w:t>
            </w:r>
          </w:p>
        </w:tc>
        <w:tc>
          <w:tcPr>
            <w:tcW w:w="45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Warrants that are not exercised in connection with a Window shall automatically become void without compensation.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4.9.1</w:t>
            </w:r>
          </w:p>
        </w:tc>
        <w:tc>
          <w:tcPr>
            <w:tcW w:w="51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Såfremt et Vindue ikke er blevet oprettet senest den 31. december 2036, bortfalder Warrants automatisk uden yderligere varsel og uden kompensation.</w:t>
            </w:r>
          </w:p>
        </w:tc>
        <w:tc>
          <w:tcPr>
            <w:tcW w:w="60" w:type="dxa"/>
            <w:tcBorders/>
            <w:vAlign w:val="center"/>
          </w:tcPr>
          <w:p>
            <w:pPr>
              <w:pStyle w:val="TableContents"/>
              <w:bidi w:val="0"/>
              <w:spacing w:before="0" w:after="283"/>
              <w:jc w:val="both"/>
              <w:rPr/>
            </w:pPr>
            <w:r>
              <w:rPr/>
              <w:t> </w:t>
            </w:r>
          </w:p>
        </w:tc>
        <w:tc>
          <w:tcPr>
            <w:tcW w:w="4590" w:type="dxa"/>
            <w:tcBorders/>
            <w:vAlign w:val="center"/>
          </w:tcPr>
          <w:p>
            <w:pPr>
              <w:pStyle w:val="TableContents"/>
              <w:bidi w:val="0"/>
              <w:spacing w:before="0" w:after="283"/>
              <w:jc w:val="both"/>
              <w:rPr/>
            </w:pPr>
            <w:r>
              <w:rPr>
                <w:rFonts w:ascii="Times New Roman;Times;Serif" w:hAnsi="Times New Roman;Times;Serif"/>
              </w:rPr>
              <w:t xml:space="preserve">In </w:t>
            </w:r>
            <w:r>
              <w:rPr/>
              <w:t xml:space="preserve">the event an Exit or a Window has not occurred on or before December 31, 2036, the Warrants shall automatically and without further notice or compensation lapse and become null and void.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4.10 </w:t>
            </w:r>
          </w:p>
        </w:tc>
        <w:tc>
          <w:tcPr>
            <w:tcW w:w="51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forbindelse med en notering af ADS’er på Nasdaq, USA, har Selskabets bestyrelse i henhold til pkt. 4.1 truffet beslutning om at fastsætte udnyttelsesvinduerne for udstedte warrants således:</w:t>
            </w:r>
          </w:p>
        </w:tc>
        <w:tc>
          <w:tcPr>
            <w:tcW w:w="60" w:type="dxa"/>
            <w:tcBorders/>
            <w:vAlign w:val="center"/>
          </w:tcPr>
          <w:p>
            <w:pPr>
              <w:pStyle w:val="TableContents"/>
              <w:bidi w:val="0"/>
              <w:spacing w:before="0" w:after="283"/>
              <w:jc w:val="both"/>
              <w:rPr/>
            </w:pPr>
            <w:r>
              <w:rPr/>
              <w:t> </w:t>
            </w:r>
          </w:p>
        </w:tc>
        <w:tc>
          <w:tcPr>
            <w:tcW w:w="4590" w:type="dxa"/>
            <w:tcBorders/>
            <w:vAlign w:val="center"/>
          </w:tcPr>
          <w:p>
            <w:pPr>
              <w:pStyle w:val="TableContents"/>
              <w:bidi w:val="0"/>
              <w:spacing w:before="0" w:after="283"/>
              <w:jc w:val="both"/>
              <w:rPr/>
            </w:pPr>
            <w:r>
              <w:rPr/>
              <w:t>In connection with a listing of ADSs on Nasdaq, USA, the board of directors has resolved, pursuant to clause 4.1, to determine the exercise windows for issued warrants as follows:</w:t>
            </w:r>
          </w:p>
        </w:tc>
      </w:tr>
      <w:tr>
        <w:trPr/>
        <w:tc>
          <w:tcPr>
            <w:tcW w:w="440" w:type="dxa"/>
            <w:tcBorders/>
            <w:vAlign w:val="center"/>
          </w:tcPr>
          <w:p>
            <w:pPr>
              <w:pStyle w:val="TableContents"/>
              <w:bidi w:val="0"/>
              <w:spacing w:before="0" w:after="283"/>
              <w:jc w:val="both"/>
              <w:rPr/>
            </w:pPr>
            <w:r>
              <w:rPr/>
              <w:t> </w:t>
            </w:r>
          </w:p>
        </w:tc>
        <w:tc>
          <w:tcPr>
            <w:tcW w:w="51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Optjente warrants kan udnyttes i fire årlige udnyttelsesvinduer på 2 uger, som hver ligger to handelsdage efter offentliggørelsen af henholdsvis Selskabets årsrapport, halvårsregnskabet samt kvartalsmeddelelserne. Første udnyttelsesperiode indtræder dog tidligst 180 dage efter Selskabets notering af ADS’er på Nasdaq, USA, og i de første fire udnyttelsesperioder kan warrantindehaveren maksimalt udnytte 25 % af de til warrantindehaveren tildelte warrants, forudsat altid at warrants er optjent.</w:t>
            </w:r>
          </w:p>
        </w:tc>
        <w:tc>
          <w:tcPr>
            <w:tcW w:w="60" w:type="dxa"/>
            <w:tcBorders/>
            <w:vAlign w:val="center"/>
          </w:tcPr>
          <w:p>
            <w:pPr>
              <w:pStyle w:val="TableContents"/>
              <w:bidi w:val="0"/>
              <w:spacing w:before="0" w:after="283"/>
              <w:jc w:val="both"/>
              <w:rPr/>
            </w:pPr>
            <w:r>
              <w:rPr/>
              <w:t> </w:t>
            </w:r>
          </w:p>
        </w:tc>
        <w:tc>
          <w:tcPr>
            <w:tcW w:w="45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warrants may be exercise in four annual exercise windows of two weeks each that each commence two trading days following publication of the Company’s annual report, the 6-month report and the interim reports. The first exercise window shall, however, be at least 180 days following the listing by the Company of ADSs on Nasdaq, USA and in the first four exercise periods the warrantholder may as a maximum exercise 25% of the warrants granted to the respective warrantholders, provided always that the warrants have vested.</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290"/>
        <w:gridCol w:w="5588"/>
        <w:gridCol w:w="60"/>
        <w:gridCol w:w="394"/>
        <w:gridCol w:w="3873"/>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5</w:t>
            </w:r>
          </w:p>
        </w:tc>
        <w:tc>
          <w:tcPr>
            <w:tcW w:w="558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Visse betingelser i relation til Exit</w:t>
            </w:r>
          </w:p>
        </w:tc>
        <w:tc>
          <w:tcPr>
            <w:tcW w:w="60" w:type="dxa"/>
            <w:tcBorders/>
            <w:vAlign w:val="center"/>
          </w:tcPr>
          <w:p>
            <w:pPr>
              <w:pStyle w:val="TableContents"/>
              <w:bidi w:val="0"/>
              <w:spacing w:before="0" w:after="283"/>
              <w:jc w:val="both"/>
              <w:rPr/>
            </w:pPr>
            <w:r>
              <w:rPr/>
              <w:t> </w:t>
            </w:r>
          </w:p>
        </w:tc>
        <w:tc>
          <w:tcPr>
            <w:tcW w:w="39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5 </w:t>
            </w:r>
          </w:p>
        </w:tc>
        <w:tc>
          <w:tcPr>
            <w:tcW w:w="3873"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Conditions relating to an Exit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w:t>
            </w:r>
          </w:p>
        </w:tc>
        <w:tc>
          <w:tcPr>
            <w:tcW w:w="5588" w:type="dxa"/>
            <w:tcBorders/>
            <w:vAlign w:val="center"/>
          </w:tcPr>
          <w:p>
            <w:pPr>
              <w:pStyle w:val="TableContents"/>
              <w:bidi w:val="0"/>
              <w:spacing w:before="0" w:after="283"/>
              <w:jc w:val="both"/>
              <w:rPr/>
            </w:pPr>
            <w:r>
              <w:rPr/>
              <w:t>Efter udnyttelse af Warrants i forbindelse med en børsnotering skal Warrantindehaveren underskrive og tiltræde de aftaler eller forpligtelser, herunder i relation til en lock-up periode eller andre lock-up forpligtelser, som den udstedende bank måtte anmode om i forbindelse med en børsnotering.</w:t>
            </w:r>
          </w:p>
        </w:tc>
        <w:tc>
          <w:tcPr>
            <w:tcW w:w="60" w:type="dxa"/>
            <w:tcBorders/>
            <w:vAlign w:val="center"/>
          </w:tcPr>
          <w:p>
            <w:pPr>
              <w:pStyle w:val="TableContents"/>
              <w:bidi w:val="0"/>
              <w:spacing w:before="0" w:after="283"/>
              <w:jc w:val="both"/>
              <w:rPr/>
            </w:pPr>
            <w:r>
              <w:rPr/>
              <w:t> </w:t>
            </w:r>
          </w:p>
        </w:tc>
        <w:tc>
          <w:tcPr>
            <w:tcW w:w="4267" w:type="dxa"/>
            <w:gridSpan w:val="2"/>
            <w:tcBorders/>
            <w:vAlign w:val="center"/>
          </w:tcPr>
          <w:p>
            <w:pPr>
              <w:pStyle w:val="TableContents"/>
              <w:bidi w:val="0"/>
              <w:spacing w:before="0" w:after="283"/>
              <w:jc w:val="both"/>
              <w:rPr/>
            </w:pPr>
            <w:r>
              <w:rPr/>
              <w:t>Following exercise of Warrants in connection with an IPO, the Warrantee shall sign and accept such agreements or undertakings, including in respect of a period of lock-up and other lock-up obligations, which may be proposed by the issuing bank in connection with an IPO.</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5.2</w:t>
            </w:r>
          </w:p>
        </w:tc>
        <w:tc>
          <w:tcPr>
            <w:tcW w:w="5588" w:type="dxa"/>
            <w:tcBorders/>
            <w:vAlign w:val="center"/>
          </w:tcPr>
          <w:p>
            <w:pPr>
              <w:pStyle w:val="TableContents"/>
              <w:bidi w:val="0"/>
              <w:spacing w:before="0" w:after="283"/>
              <w:jc w:val="both"/>
              <w:rPr/>
            </w:pPr>
            <w:r>
              <w:rPr/>
              <w:t>Selskabet kan kræve, og Warrantindehaveren skal i så fald acceptere, at samtlige eller en del af Warrants ombyttes ligeligt til kapitalandele, warrants, konvertible værdipapirer eller et andet kapitalandelsbaseret instrument udstedt af en køber eller af en efterfølger af Selskabet eller af et af disses moderselskab eller datterselskab, eller til kapitalandele, warrants, konvertible værdipapirer eller andet kapitalandelsbaseret instrument udstedt af Selskabet efter omstrukturering, således at den pågældende Warrantindehavers Warrants umiddelbart efter en sådan ombytning sammen med betaling af en eventuel kontant godtgørelse til Warrantindehaveren i alt væsentlig har samme værdi som Warrants, herunder de Warrants ejet af Warrantindehaveren umiddelbart før en sådan ombytning. Uanset ovenstående er Warrantindehaveren berettiget til en delvis kontant udbetaling i det omfang, dette er nødvendigt, for at Warrantindehaveren er i stand til at betale eventuel indkomst- eller kapitalgevinst skat, der umiddelbart forfalder som følge af en sådan ombytning af værdipapirer.</w:t>
            </w:r>
          </w:p>
        </w:tc>
        <w:tc>
          <w:tcPr>
            <w:tcW w:w="60" w:type="dxa"/>
            <w:tcBorders/>
            <w:vAlign w:val="center"/>
          </w:tcPr>
          <w:p>
            <w:pPr>
              <w:pStyle w:val="TableContents"/>
              <w:bidi w:val="0"/>
              <w:spacing w:before="0" w:after="283"/>
              <w:jc w:val="both"/>
              <w:rPr/>
            </w:pPr>
            <w:r>
              <w:rPr/>
              <w:t> </w:t>
            </w:r>
          </w:p>
        </w:tc>
        <w:tc>
          <w:tcPr>
            <w:tcW w:w="4267"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request, and the Warrantee shall then accept, that all or a portion of the Warrants shall be equitably exchanged for shares, warrants, convertibles or any other equity based instrument, issued by any purchaser of or successor to the Company, or by a parent or subsidiary of either of them, or shares, warrants, convertibles or any other equity based instrument issued by the Company as restructured, such that such Warrantee's Warrants immediately following such exchange, when aggregated with any cash consideration paid to such Warrantee, shall have substantially the same value as the Warrants, including any Warrants held by such Warrantee immediately prior to such exchange. Notwithstanding any of the foregoing, the Warrantee shall be entitled to partial consideration in cash to the extent necessary in order for the Warrantee to be able to pay any personal income or capital gains tax immediately falling due as a result of such exchange of securities.</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5.3</w:t>
            </w:r>
          </w:p>
        </w:tc>
        <w:tc>
          <w:tcPr>
            <w:tcW w:w="5588" w:type="dxa"/>
            <w:tcBorders/>
            <w:vAlign w:val="center"/>
          </w:tcPr>
          <w:p>
            <w:pPr>
              <w:pStyle w:val="TableContents"/>
              <w:bidi w:val="0"/>
              <w:spacing w:before="0" w:after="283"/>
              <w:jc w:val="both"/>
              <w:rPr/>
            </w:pPr>
            <w:r>
              <w:rPr/>
              <w:t>Forud for en Exit er Selskabet (eller en tredjemand, der er udpeget af Selskabet) berettiget til at købe Warrants fra Warrantindehaveren til en pris, der fastsættes i overensstemmelse med punkt 5.5 nedenfor.</w:t>
            </w:r>
          </w:p>
        </w:tc>
        <w:tc>
          <w:tcPr>
            <w:tcW w:w="60" w:type="dxa"/>
            <w:tcBorders/>
            <w:vAlign w:val="center"/>
          </w:tcPr>
          <w:p>
            <w:pPr>
              <w:pStyle w:val="TableContents"/>
              <w:bidi w:val="0"/>
              <w:spacing w:before="0" w:after="283"/>
              <w:jc w:val="both"/>
              <w:rPr/>
            </w:pPr>
            <w:r>
              <w:rPr/>
              <w:t> </w:t>
            </w:r>
          </w:p>
        </w:tc>
        <w:tc>
          <w:tcPr>
            <w:tcW w:w="4267"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 Exit, the Company (or a third party appointed by the Company) shall have a right to purchase the Warrants from the Warrantee for a price determined in accordance with Clause 5.5 below.</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440"/>
        <w:gridCol w:w="5179"/>
        <w:gridCol w:w="60"/>
        <w:gridCol w:w="4526"/>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5.4</w:t>
            </w:r>
          </w:p>
        </w:tc>
        <w:tc>
          <w:tcPr>
            <w:tcW w:w="517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Hvis Selskabet ønsker at udnytte en af sine rettigheder i henhold til denne Aftale, skal der gives skriftlig meddelelse herom per email til Warrantindehaveren. En meddelelse betragtes som værende kommet Warrantindehaveren i hænde, og Selskabets rettighed derved udøvet, på tidspunktet for emailens afsendelse, forudsat at meddelelsen er stilet til den emailadresse, som Warrantindehaveren til enhver tid har oplyst Selskabet om. Udnyttelse af en rettighed i henhold til punkt 5.3 ovenfor er altid betinget af, at Exit faktisk er blevet gennemført. </w:t>
            </w:r>
          </w:p>
        </w:tc>
        <w:tc>
          <w:tcPr>
            <w:tcW w:w="60" w:type="dxa"/>
            <w:tcBorders/>
            <w:vAlign w:val="center"/>
          </w:tcPr>
          <w:p>
            <w:pPr>
              <w:pStyle w:val="TableContents"/>
              <w:bidi w:val="0"/>
              <w:spacing w:before="0" w:after="283"/>
              <w:jc w:val="both"/>
              <w:rPr/>
            </w:pPr>
            <w:r>
              <w:rPr/>
              <w:t> </w:t>
            </w:r>
          </w:p>
        </w:tc>
        <w:tc>
          <w:tcPr>
            <w:tcW w:w="452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wishes to exercise any of its rights under this Agreement, a written notice to that effect shall be sent by email to the Warrantee. A notice shall be deemed to have reached a Warrantee, and hence the right of the Company shall be deemed to have been exercised, at the time of the dispatch of the email, provided the notice has been addressed to the email address of the Warrantee which the Warrantee has informed the Company at any time. The exercise of rights pursuant to Clause 5.3 above is always subject to the condition that the Exit is actually completed.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5.5</w:t>
            </w:r>
          </w:p>
        </w:tc>
        <w:tc>
          <w:tcPr>
            <w:tcW w:w="5179"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Købspris i forbindelse med Exit</w:t>
            </w:r>
          </w:p>
        </w:tc>
        <w:tc>
          <w:tcPr>
            <w:tcW w:w="60" w:type="dxa"/>
            <w:tcBorders/>
            <w:vAlign w:val="center"/>
          </w:tcPr>
          <w:p>
            <w:pPr>
              <w:pStyle w:val="TableContents"/>
              <w:bidi w:val="0"/>
              <w:spacing w:before="0" w:after="283"/>
              <w:jc w:val="both"/>
              <w:rPr/>
            </w:pPr>
            <w:r>
              <w:rPr/>
              <w:t> </w:t>
            </w:r>
          </w:p>
        </w:tc>
        <w:tc>
          <w:tcPr>
            <w:tcW w:w="4526"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Purchase Price in connection with an Exit</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5.5.1</w:t>
            </w:r>
          </w:p>
        </w:tc>
        <w:tc>
          <w:tcPr>
            <w:tcW w:w="5179" w:type="dxa"/>
            <w:tcBorders/>
            <w:vAlign w:val="center"/>
          </w:tcPr>
          <w:p>
            <w:pPr>
              <w:pStyle w:val="TableContents"/>
              <w:bidi w:val="0"/>
              <w:spacing w:before="0" w:after="283"/>
              <w:jc w:val="both"/>
              <w:rPr/>
            </w:pPr>
            <w:r>
              <w:rPr/>
              <w:t>Ved køb af Warrantindehaverens Warrants i henhold til punkt 5.3 skal værdien af Warrants være baseret på den rimelige markedsværdi som anført nedenfor.</w:t>
            </w:r>
          </w:p>
        </w:tc>
        <w:tc>
          <w:tcPr>
            <w:tcW w:w="60" w:type="dxa"/>
            <w:tcBorders/>
            <w:vAlign w:val="center"/>
          </w:tcPr>
          <w:p>
            <w:pPr>
              <w:pStyle w:val="TableContents"/>
              <w:bidi w:val="0"/>
              <w:spacing w:before="0" w:after="283"/>
              <w:jc w:val="both"/>
              <w:rPr/>
            </w:pPr>
            <w:r>
              <w:rPr/>
              <w:t> </w:t>
            </w:r>
          </w:p>
        </w:tc>
        <w:tc>
          <w:tcPr>
            <w:tcW w:w="45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the Warrantee's Warrants are purchased in accordance with Clause 5.3, the Warrants shall be based on the fair market value as set out below.</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5.5.2</w:t>
            </w:r>
          </w:p>
        </w:tc>
        <w:tc>
          <w:tcPr>
            <w:tcW w:w="5179" w:type="dxa"/>
            <w:tcBorders/>
            <w:vAlign w:val="center"/>
          </w:tcPr>
          <w:p>
            <w:pPr>
              <w:pStyle w:val="TableContents"/>
              <w:bidi w:val="0"/>
              <w:spacing w:before="0" w:after="283"/>
              <w:jc w:val="both"/>
              <w:rPr/>
            </w:pPr>
            <w:r>
              <w:rPr/>
              <w:t>Den rimelige markedsværdi af Warrants beregnes af Selskabet på grundlag af den nettopris per kapitalandel i Selskabet, som sælgende kapitalejere vil modtage ved en Exit med fradrag af et forholdsmæssigt beløb for vederlag til rådgivere m.v. Ved beregningen af den rimelige markedsværdi af Warrants skal Selskabet fratrække et beløb, som Selskabet anser som passende i betragtning af de sælgende kapitalejeres eventuelle forpligtelser i henhold til Exit.</w:t>
            </w:r>
          </w:p>
        </w:tc>
        <w:tc>
          <w:tcPr>
            <w:tcW w:w="60" w:type="dxa"/>
            <w:tcBorders/>
            <w:vAlign w:val="center"/>
          </w:tcPr>
          <w:p>
            <w:pPr>
              <w:pStyle w:val="TableContents"/>
              <w:bidi w:val="0"/>
              <w:spacing w:before="0" w:after="283"/>
              <w:jc w:val="both"/>
              <w:rPr/>
            </w:pPr>
            <w:r>
              <w:rPr/>
              <w:t> </w:t>
            </w:r>
          </w:p>
        </w:tc>
        <w:tc>
          <w:tcPr>
            <w:tcW w:w="4526" w:type="dxa"/>
            <w:tcBorders/>
            <w:vAlign w:val="center"/>
          </w:tcPr>
          <w:p>
            <w:pPr>
              <w:pStyle w:val="TableContents"/>
              <w:bidi w:val="0"/>
              <w:spacing w:before="0" w:after="0"/>
              <w:ind w:left="0" w:right="0" w:hanging="0"/>
              <w:jc w:val="both"/>
              <w:rPr>
                <w:sz w:val="20"/>
              </w:rPr>
            </w:pPr>
            <w:r>
              <w:rPr>
                <w:rFonts w:ascii="Times New Roman;Times;Serif" w:hAnsi="Times New Roman;Times;Serif"/>
                <w:sz w:val="20"/>
              </w:rPr>
              <w:t xml:space="preserve">The fair market value of </w:t>
            </w:r>
            <w:r>
              <w:rPr>
                <w:sz w:val="20"/>
              </w:rPr>
              <w:t>the Warrants shall be calculated by the Company based on the net price per share of the Company to be received by the selling shareholders in an Exit deducted the proportionate amount of any fees to advisors etc. When calculating the fair market value of the Warrants, the Company shall deduct from the fair market value an amount which the Company deems appropriate when considering the selling shareholders' potential liabilities pursuant to the Exit.</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5.5.3</w:t>
            </w:r>
          </w:p>
        </w:tc>
        <w:tc>
          <w:tcPr>
            <w:tcW w:w="517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Når Warrants købes i forbindelse med en Exit som følge af salg eller overdragelse af samtlige eller en væsentlig del af Selskabets aktiver, er værdien af Warrants den rimelige markedsværdi på tidspunktet efter salget. I tilfælde af en sådan Exit skal der ved beregningen af den rimelige markedsværdi for Warrants tages højde for den købspris, Selskabet har modtaget for de solgte aktiver, med fradrag af gæld, der ikke er overdraget sammen med aktiverne, samt en forholdsmæssig andel af omkostninger, honorarer m.v. i forbindelse med transaktionen.</w:t>
            </w:r>
          </w:p>
        </w:tc>
        <w:tc>
          <w:tcPr>
            <w:tcW w:w="60" w:type="dxa"/>
            <w:tcBorders/>
            <w:vAlign w:val="center"/>
          </w:tcPr>
          <w:p>
            <w:pPr>
              <w:pStyle w:val="TableContents"/>
              <w:bidi w:val="0"/>
              <w:spacing w:before="0" w:after="283"/>
              <w:jc w:val="both"/>
              <w:rPr/>
            </w:pPr>
            <w:r>
              <w:rPr/>
              <w:t> </w:t>
            </w:r>
          </w:p>
        </w:tc>
        <w:tc>
          <w:tcPr>
            <w:tcW w:w="4526" w:type="dxa"/>
            <w:tcBorders/>
            <w:vAlign w:val="center"/>
          </w:tcPr>
          <w:p>
            <w:pPr>
              <w:pStyle w:val="TableContents"/>
              <w:bidi w:val="0"/>
              <w:spacing w:before="0" w:after="0"/>
              <w:ind w:left="0" w:right="0" w:hanging="0"/>
              <w:jc w:val="both"/>
              <w:rPr>
                <w:sz w:val="20"/>
              </w:rPr>
            </w:pPr>
            <w:r>
              <w:rPr>
                <w:rFonts w:ascii="Times New Roman;Times;Serif" w:hAnsi="Times New Roman;Times;Serif"/>
                <w:sz w:val="20"/>
              </w:rPr>
              <w:t xml:space="preserve">When </w:t>
            </w:r>
            <w:r>
              <w:rPr>
                <w:sz w:val="20"/>
              </w:rPr>
              <w:t>the Warrants are purchased in connection with an Exit based on the sale or disposition of all or a material part of the Company's assets, the value of the Warrants shall be the fair market value at the time after such sale. In case of such Exit, the fair market value of the Warrants shall take into account the purchase price received by the Company for the assets sold, net of any debts not transferred together with the assets as well as a proportionate part of any cost, fees etc. related to the transaction.</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485"/>
        <w:gridCol w:w="5197"/>
        <w:gridCol w:w="60"/>
        <w:gridCol w:w="443"/>
        <w:gridCol w:w="4020"/>
      </w:tblGrid>
      <w:tr>
        <w:trPr/>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5.5.4 </w:t>
            </w:r>
          </w:p>
        </w:tc>
        <w:tc>
          <w:tcPr>
            <w:tcW w:w="519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Købsprisen for Warrants fastlagt i henhold til punkt 5.5.2 - 5.5.3 ovenfor skal betales 15 dage efter, at de sælgende kapitalejere i Selskabet har modtaget betaling for deres kapitalandele, og i tilfælde af køb i forbindelse med et salg af aktiver, når Selskabet har modtaget betaling for de solgte aktiver.</w:t>
            </w:r>
          </w:p>
        </w:tc>
        <w:tc>
          <w:tcPr>
            <w:tcW w:w="60" w:type="dxa"/>
            <w:tcBorders/>
            <w:vAlign w:val="center"/>
          </w:tcPr>
          <w:p>
            <w:pPr>
              <w:pStyle w:val="TableContents"/>
              <w:bidi w:val="0"/>
              <w:spacing w:before="0" w:after="283"/>
              <w:jc w:val="both"/>
              <w:rPr/>
            </w:pPr>
            <w:r>
              <w:rPr/>
              <w:t> </w:t>
            </w:r>
          </w:p>
        </w:tc>
        <w:tc>
          <w:tcPr>
            <w:tcW w:w="4463"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the Warrants determined in accordance with Clauses 5.5.2 - 5.5.3 above, as applicable, shall be paid 15 days after the selling shareholders of the Company have received payment for their shares, and in case of a purchase in connection with an asset sale, when the Company has received payment for the assets sold.</w:t>
            </w:r>
          </w:p>
        </w:tc>
      </w:tr>
      <w:tr>
        <w:trPr/>
        <w:tc>
          <w:tcPr>
            <w:tcW w:w="4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6 </w:t>
            </w:r>
          </w:p>
        </w:tc>
        <w:tc>
          <w:tcPr>
            <w:tcW w:w="519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Opsigelse af ansættelsesforholdet</w:t>
            </w:r>
          </w:p>
        </w:tc>
        <w:tc>
          <w:tcPr>
            <w:tcW w:w="60" w:type="dxa"/>
            <w:tcBorders/>
            <w:vAlign w:val="center"/>
          </w:tcPr>
          <w:p>
            <w:pPr>
              <w:pStyle w:val="TableContents"/>
              <w:bidi w:val="0"/>
              <w:spacing w:before="0" w:after="283"/>
              <w:jc w:val="both"/>
              <w:rPr/>
            </w:pPr>
            <w:r>
              <w:rPr/>
              <w:t> </w:t>
            </w:r>
          </w:p>
        </w:tc>
        <w:tc>
          <w:tcPr>
            <w:tcW w:w="44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6 </w:t>
            </w:r>
          </w:p>
        </w:tc>
        <w:tc>
          <w:tcPr>
            <w:tcW w:w="40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Termination of Employment</w:t>
            </w:r>
          </w:p>
        </w:tc>
      </w:tr>
      <w:tr>
        <w:trPr/>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6.1 </w:t>
            </w:r>
          </w:p>
        </w:tc>
        <w:tc>
          <w:tcPr>
            <w:tcW w:w="519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Punkterne 6.2 - 6.7 finder anvendelse, hvis Warrantindehaveren er ansat i Selskabet:</w:t>
            </w:r>
          </w:p>
        </w:tc>
        <w:tc>
          <w:tcPr>
            <w:tcW w:w="60" w:type="dxa"/>
            <w:tcBorders/>
            <w:vAlign w:val="center"/>
          </w:tcPr>
          <w:p>
            <w:pPr>
              <w:pStyle w:val="TableContents"/>
              <w:bidi w:val="0"/>
              <w:spacing w:before="0" w:after="283"/>
              <w:jc w:val="both"/>
              <w:rPr/>
            </w:pPr>
            <w:r>
              <w:rPr/>
              <w:t> </w:t>
            </w:r>
          </w:p>
        </w:tc>
        <w:tc>
          <w:tcPr>
            <w:tcW w:w="4463"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Clauses 6.2 - 6.7 shall apply provided the Warrantee is an employee of the Company:</w:t>
            </w:r>
          </w:p>
        </w:tc>
      </w:tr>
      <w:tr>
        <w:trPr/>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w:t>
            </w:r>
          </w:p>
        </w:tc>
        <w:tc>
          <w:tcPr>
            <w:tcW w:w="51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Hvis Selskabet opsiger Warrantindehaverens ansættelse i Selskabet med en hvilken som helst begrundelse bortset fra Warrantindehaverens misligholdelse, er Warrantindehaveren berettiget til at udnytte Warrants tildelt i henhold til denne Aftale i overensstemmelse med vilkårene i Aftalen, som om Warrantindehaveren stadig var ansat i Selskabet. Dette gælder ligeledes, hvis ansættelsesforholdet bringes til ophør, fordi Warrantindehaveren har nået den alder, der gælder for pensionering fra Selskabet, eller fordi Warrantindehaveren kan oppebære folkepension eller alderspension fra Selskabet.</w:t>
            </w:r>
          </w:p>
        </w:tc>
        <w:tc>
          <w:tcPr>
            <w:tcW w:w="60" w:type="dxa"/>
            <w:tcBorders/>
            <w:vAlign w:val="center"/>
          </w:tcPr>
          <w:p>
            <w:pPr>
              <w:pStyle w:val="TableContents"/>
              <w:bidi w:val="0"/>
              <w:spacing w:before="0" w:after="283"/>
              <w:jc w:val="both"/>
              <w:rPr/>
            </w:pPr>
            <w:r>
              <w:rPr/>
              <w:t> </w:t>
            </w:r>
          </w:p>
        </w:tc>
        <w:tc>
          <w:tcPr>
            <w:tcW w:w="4463" w:type="dxa"/>
            <w:gridSpan w:val="2"/>
            <w:tcBorders/>
            <w:vAlign w:val="center"/>
          </w:tcPr>
          <w:p>
            <w:pPr>
              <w:pStyle w:val="TableContents"/>
              <w:bidi w:val="0"/>
              <w:spacing w:before="0" w:after="0"/>
              <w:ind w:left="0" w:right="0" w:hanging="0"/>
              <w:jc w:val="both"/>
              <w:rPr>
                <w:sz w:val="20"/>
              </w:rPr>
            </w:pPr>
            <w:r>
              <w:rPr>
                <w:rFonts w:ascii="Times New Roman;Times;Serif" w:hAnsi="Times New Roman;Times;Serif"/>
                <w:sz w:val="20"/>
              </w:rPr>
              <w:t xml:space="preserve">In </w:t>
            </w:r>
            <w:r>
              <w:rPr>
                <w:sz w:val="20"/>
              </w:rPr>
              <w:t>the event the Company terminates the Warrantee's employment with the Company for any reason other than due to the Warrantee's breach (in Danish "misligholdelse"), the Warrantee shall have the right to exercise any Warrants granted pursuant to this Agreement in accordance with the terms and conditions of this Agreement as if the Warrantee continued to be employed by the Company. The same applies if the employment relationship comes to an end because the Warrantee has reached the age of retirement from the Company or is entitled to old age pension (in Danish: "folkepension") or retirement pension (in Danish: "alderspension") from the Company.</w:t>
            </w:r>
          </w:p>
        </w:tc>
      </w:tr>
      <w:tr>
        <w:trPr/>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6.3</w:t>
            </w:r>
          </w:p>
        </w:tc>
        <w:tc>
          <w:tcPr>
            <w:tcW w:w="519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Hvis Selskabet opsiger Warrantindehaverens ansættelse i Selskabet begrundet i Warrantindehaverens misligholdelse eller berettiget bortviser Warrantindehaveren, bortfalder samtlige Warrants, der er tildelt i henhold til denne Aftale, men som ikke er udnyttet på tidspunktet for udløbet af opsigelsesperioden.</w:t>
            </w:r>
          </w:p>
        </w:tc>
        <w:tc>
          <w:tcPr>
            <w:tcW w:w="60" w:type="dxa"/>
            <w:tcBorders/>
            <w:vAlign w:val="center"/>
          </w:tcPr>
          <w:p>
            <w:pPr>
              <w:pStyle w:val="TableContents"/>
              <w:bidi w:val="0"/>
              <w:spacing w:before="0" w:after="283"/>
              <w:jc w:val="both"/>
              <w:rPr/>
            </w:pPr>
            <w:r>
              <w:rPr/>
              <w:t> </w:t>
            </w:r>
          </w:p>
        </w:tc>
        <w:tc>
          <w:tcPr>
            <w:tcW w:w="4463" w:type="dxa"/>
            <w:gridSpan w:val="2"/>
            <w:tcBorders/>
            <w:vAlign w:val="center"/>
          </w:tcPr>
          <w:p>
            <w:pPr>
              <w:pStyle w:val="TableContents"/>
              <w:bidi w:val="0"/>
              <w:spacing w:before="0" w:after="0"/>
              <w:ind w:left="0" w:right="0" w:hanging="0"/>
              <w:jc w:val="both"/>
              <w:rPr>
                <w:sz w:val="20"/>
              </w:rPr>
            </w:pPr>
            <w:r>
              <w:rPr>
                <w:rFonts w:ascii="Times New Roman;Times;Serif" w:hAnsi="Times New Roman;Times;Serif"/>
                <w:sz w:val="20"/>
              </w:rPr>
              <w:t xml:space="preserve">In </w:t>
            </w:r>
            <w:r>
              <w:rPr>
                <w:sz w:val="20"/>
              </w:rPr>
              <w:t>the event that the Company terminates the Warrantee's employment with the Company due to the Warrantee's breach (in Danish "misligholdelse") or summarily dismisses the Warrantee for cause (in Danish "bortvisning"), all Warrants granted pursuant to this Agreement, but not exercised at the time of the expiration of the notice period, becomes null and void.</w:t>
            </w:r>
          </w:p>
        </w:tc>
      </w:tr>
      <w:tr>
        <w:trPr/>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6.4 </w:t>
            </w:r>
          </w:p>
        </w:tc>
        <w:tc>
          <w:tcPr>
            <w:tcW w:w="5197" w:type="dxa"/>
            <w:tcBorders/>
            <w:vAlign w:val="center"/>
          </w:tcPr>
          <w:p>
            <w:pPr>
              <w:pStyle w:val="TableContents"/>
              <w:bidi w:val="0"/>
              <w:spacing w:before="0" w:after="0"/>
              <w:ind w:left="0" w:right="0" w:hanging="0"/>
              <w:jc w:val="both"/>
              <w:rPr>
                <w:sz w:val="20"/>
              </w:rPr>
            </w:pPr>
            <w:r>
              <w:rPr>
                <w:rFonts w:ascii="Times New Roman;Times;Serif" w:hAnsi="Times New Roman;Times;Serif"/>
                <w:sz w:val="20"/>
              </w:rPr>
              <w:t xml:space="preserve">Hvis </w:t>
            </w:r>
            <w:r>
              <w:rPr>
                <w:sz w:val="20"/>
              </w:rPr>
              <w:t xml:space="preserve">Warrantindehaveren opsiger sin ansættelse i Selskabet inden den 31. december 2019 med en hvilken som helst </w:t>
            </w:r>
            <w:r>
              <w:rPr>
                <w:rFonts w:ascii="Times New Roman;Times;Serif" w:hAnsi="Times New Roman;Times;Serif"/>
                <w:sz w:val="20"/>
              </w:rPr>
              <w:t>begrundelse, bortset fra Selskabets grove misligholdelse, bortfalder samtlige Warrants, der er tildelt i henhold til denne Aftale, men som ikke er udnyttet på tidspunktet for udløbet af opsigelsesperioden.</w:t>
            </w:r>
          </w:p>
        </w:tc>
        <w:tc>
          <w:tcPr>
            <w:tcW w:w="60" w:type="dxa"/>
            <w:tcBorders/>
            <w:vAlign w:val="center"/>
          </w:tcPr>
          <w:p>
            <w:pPr>
              <w:pStyle w:val="TableContents"/>
              <w:bidi w:val="0"/>
              <w:spacing w:before="0" w:after="283"/>
              <w:jc w:val="both"/>
              <w:rPr/>
            </w:pPr>
            <w:r>
              <w:rPr/>
              <w:t> </w:t>
            </w:r>
          </w:p>
        </w:tc>
        <w:tc>
          <w:tcPr>
            <w:tcW w:w="4463"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Warrantee terminates the employment with the Company before December 31 2019 for any reason other than due the Company's material breach (in Danish: "grov misligholdelse"), all Warrants granted pursuant to this Agreement, but not exercised at the time of the expiration of the notice period, become null and void.</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290"/>
        <w:gridCol w:w="4947"/>
        <w:gridCol w:w="60"/>
        <w:gridCol w:w="4908"/>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4947" w:type="dxa"/>
            <w:tcBorders/>
            <w:vAlign w:val="center"/>
          </w:tcPr>
          <w:p>
            <w:pPr>
              <w:pStyle w:val="TableContents"/>
              <w:bidi w:val="0"/>
              <w:spacing w:before="0" w:after="0"/>
              <w:ind w:left="0" w:right="0" w:hanging="0"/>
              <w:jc w:val="both"/>
              <w:rPr>
                <w:sz w:val="20"/>
              </w:rPr>
            </w:pPr>
            <w:r>
              <w:rPr>
                <w:rFonts w:ascii="Times New Roman;Times;Serif" w:hAnsi="Times New Roman;Times;Serif"/>
                <w:sz w:val="20"/>
              </w:rPr>
              <w:t xml:space="preserve">Hvis </w:t>
            </w:r>
            <w:r>
              <w:rPr>
                <w:sz w:val="20"/>
              </w:rPr>
              <w:t>Warrantindehaveren opsiger sin ansættelse i Selskabet fra og med den 31. december 2019 med en hvilken som helst begrundelse, bortset fra Selskabets grove misligholdelse, er Warrantindehaveren berettiget til at udnytte det antal Warrants tildelt i henhold til denne Aftale, som er anført nedenfor, i overensstemmelse med vilkårene i Aftalen, som om Warrantindehaveren stadig var ansat i Selskabet:</w:t>
            </w:r>
          </w:p>
        </w:tc>
        <w:tc>
          <w:tcPr>
            <w:tcW w:w="60" w:type="dxa"/>
            <w:tcBorders/>
            <w:vAlign w:val="center"/>
          </w:tcPr>
          <w:p>
            <w:pPr>
              <w:pStyle w:val="TableContents"/>
              <w:bidi w:val="0"/>
              <w:spacing w:before="0" w:after="283"/>
              <w:jc w:val="both"/>
              <w:rPr/>
            </w:pPr>
            <w:r>
              <w:rPr/>
              <w:t> </w:t>
            </w:r>
          </w:p>
        </w:tc>
        <w:tc>
          <w:tcPr>
            <w:tcW w:w="490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Warrantee terminates the employment with the Company on or after December 2019 for any reason other than due the Company's material breach (in Danish: "grov misligholdelse") the Warrantee shall have the right to exercise such number of Warrants granted pursuant to this Agreement as set out below in accordance with the terms and conditions of this Agreement as if the Warrantee continued to be employed by the Company:</w:t>
            </w:r>
          </w:p>
        </w:tc>
      </w:tr>
    </w:tbl>
    <w:p>
      <w:pPr>
        <w:pStyle w:val="TextBody"/>
        <w:bidi w:val="0"/>
        <w:jc w:val="both"/>
        <w:rPr/>
      </w:pPr>
      <w:r>
        <w:rPr/>
        <w:t> </w:t>
      </w:r>
    </w:p>
    <w:tbl>
      <w:tblPr>
        <w:tblW w:w="7694" w:type="dxa"/>
        <w:jc w:val="left"/>
        <w:tblInd w:w="0" w:type="dxa"/>
        <w:tblLayout w:type="fixed"/>
        <w:tblCellMar>
          <w:top w:w="0" w:type="dxa"/>
          <w:left w:w="0" w:type="dxa"/>
          <w:bottom w:w="28" w:type="dxa"/>
          <w:right w:w="0" w:type="dxa"/>
        </w:tblCellMar>
      </w:tblPr>
      <w:tblGrid>
        <w:gridCol w:w="4880"/>
        <w:gridCol w:w="60"/>
        <w:gridCol w:w="111"/>
        <w:gridCol w:w="1108"/>
        <w:gridCol w:w="60"/>
        <w:gridCol w:w="60"/>
        <w:gridCol w:w="670"/>
        <w:gridCol w:w="670"/>
        <w:gridCol w:w="75"/>
      </w:tblGrid>
      <w:tr>
        <w:trPr/>
        <w:tc>
          <w:tcPr>
            <w:tcW w:w="4880"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Dato for Warrantindehaverens opsigelse/</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termination notice being served by the Warrantee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af Warrants</w:t>
              <w:br/>
              <w:t>% of Warrants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Antal Warrants</w:t>
              <w:br/>
              <w:t>No. of Warrants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0" w:type="dxa"/>
            <w:tcBorders/>
            <w:shd w:fill="CCEEFF" w:val="clear"/>
            <w:tcMar>
              <w:bottom w:w="0" w:type="dxa"/>
            </w:tcMar>
            <w:vAlign w:val="center"/>
          </w:tcPr>
          <w:p>
            <w:pPr>
              <w:pStyle w:val="TableContents"/>
              <w:bidi w:val="0"/>
              <w:spacing w:before="0" w:after="283"/>
              <w:jc w:val="left"/>
              <w:rPr/>
            </w:pPr>
            <w:r>
              <w:rPr/>
              <w:t> </w:t>
            </w:r>
          </w:p>
        </w:tc>
        <w:tc>
          <w:tcPr>
            <w:tcW w:w="67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41,666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0" w:type="dxa"/>
            <w:tcBorders/>
            <w:shd w:fill="FFFFFF" w:val="clear"/>
            <w:tcMar>
              <w:bottom w:w="0" w:type="dxa"/>
            </w:tcMar>
            <w:vAlign w:val="center"/>
          </w:tcPr>
          <w:p>
            <w:pPr>
              <w:pStyle w:val="TableContents"/>
              <w:bidi w:val="0"/>
              <w:spacing w:before="0" w:after="283"/>
              <w:jc w:val="left"/>
              <w:rPr/>
            </w:pPr>
            <w:r>
              <w:rPr/>
              <w:t> </w:t>
            </w:r>
          </w:p>
        </w:tc>
        <w:tc>
          <w:tcPr>
            <w:tcW w:w="67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49,999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0" w:type="dxa"/>
            <w:tcBorders/>
            <w:shd w:fill="CCEEFF" w:val="clear"/>
            <w:tcMar>
              <w:bottom w:w="0" w:type="dxa"/>
            </w:tcMar>
            <w:vAlign w:val="center"/>
          </w:tcPr>
          <w:p>
            <w:pPr>
              <w:pStyle w:val="TableContents"/>
              <w:bidi w:val="0"/>
              <w:spacing w:before="0" w:after="283"/>
              <w:jc w:val="left"/>
              <w:rPr/>
            </w:pPr>
            <w:r>
              <w:rPr/>
              <w:t> </w:t>
            </w:r>
          </w:p>
        </w:tc>
        <w:tc>
          <w:tcPr>
            <w:tcW w:w="67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0" w:type="dxa"/>
            <w:tcBorders/>
            <w:shd w:fill="FFFFFF" w:val="clear"/>
            <w:tcMar>
              <w:bottom w:w="0" w:type="dxa"/>
            </w:tcMar>
            <w:vAlign w:val="center"/>
          </w:tcPr>
          <w:p>
            <w:pPr>
              <w:pStyle w:val="TableContents"/>
              <w:bidi w:val="0"/>
              <w:spacing w:before="0" w:after="283"/>
              <w:jc w:val="left"/>
              <w:rPr/>
            </w:pPr>
            <w:r>
              <w:rPr/>
              <w:t> </w:t>
            </w:r>
          </w:p>
        </w:tc>
        <w:tc>
          <w:tcPr>
            <w:tcW w:w="67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 2021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0" w:type="dxa"/>
            <w:tcBorders/>
            <w:shd w:fill="CCEEFF" w:val="clear"/>
            <w:tcMar>
              <w:bottom w:w="0" w:type="dxa"/>
            </w:tcMar>
            <w:vAlign w:val="center"/>
          </w:tcPr>
          <w:p>
            <w:pPr>
              <w:pStyle w:val="TableContents"/>
              <w:bidi w:val="0"/>
              <w:spacing w:before="0" w:after="283"/>
              <w:jc w:val="left"/>
              <w:rPr/>
            </w:pPr>
            <w:r>
              <w:rPr/>
              <w:t> </w:t>
            </w:r>
          </w:p>
        </w:tc>
        <w:tc>
          <w:tcPr>
            <w:tcW w:w="67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74,998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0" w:type="dxa"/>
            <w:tcBorders/>
            <w:shd w:fill="FFFFFF" w:val="clear"/>
            <w:tcMar>
              <w:bottom w:w="0" w:type="dxa"/>
            </w:tcMar>
            <w:vAlign w:val="center"/>
          </w:tcPr>
          <w:p>
            <w:pPr>
              <w:pStyle w:val="TableContents"/>
              <w:bidi w:val="0"/>
              <w:spacing w:before="0" w:after="283"/>
              <w:jc w:val="left"/>
              <w:rPr/>
            </w:pPr>
            <w:r>
              <w:rPr/>
              <w:t> </w:t>
            </w:r>
          </w:p>
        </w:tc>
        <w:tc>
          <w:tcPr>
            <w:tcW w:w="67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0" w:type="dxa"/>
            <w:tcBorders/>
            <w:shd w:fill="CCEEFF" w:val="clear"/>
            <w:tcMar>
              <w:bottom w:w="0" w:type="dxa"/>
            </w:tcMar>
            <w:vAlign w:val="center"/>
          </w:tcPr>
          <w:p>
            <w:pPr>
              <w:pStyle w:val="TableContents"/>
              <w:bidi w:val="0"/>
              <w:spacing w:before="0" w:after="283"/>
              <w:jc w:val="left"/>
              <w:rPr/>
            </w:pPr>
            <w:r>
              <w:rPr/>
              <w:t> </w:t>
            </w:r>
          </w:p>
        </w:tc>
        <w:tc>
          <w:tcPr>
            <w:tcW w:w="67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31 2021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91,664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0" w:type="dxa"/>
            <w:tcBorders/>
            <w:shd w:fill="FFFFFF" w:val="clear"/>
            <w:tcMar>
              <w:bottom w:w="0" w:type="dxa"/>
            </w:tcMar>
            <w:vAlign w:val="center"/>
          </w:tcPr>
          <w:p>
            <w:pPr>
              <w:pStyle w:val="TableContents"/>
              <w:bidi w:val="0"/>
              <w:spacing w:before="0" w:after="283"/>
              <w:jc w:val="left"/>
              <w:rPr/>
            </w:pPr>
            <w:r>
              <w:rPr/>
              <w:t> </w:t>
            </w:r>
          </w:p>
        </w:tc>
        <w:tc>
          <w:tcPr>
            <w:tcW w:w="67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 2021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0" w:type="dxa"/>
            <w:tcBorders/>
            <w:shd w:fill="CCEEFF" w:val="clear"/>
            <w:tcMar>
              <w:bottom w:w="0" w:type="dxa"/>
            </w:tcMar>
            <w:vAlign w:val="center"/>
          </w:tcPr>
          <w:p>
            <w:pPr>
              <w:pStyle w:val="TableContents"/>
              <w:bidi w:val="0"/>
              <w:spacing w:before="0" w:after="283"/>
              <w:jc w:val="left"/>
              <w:rPr/>
            </w:pPr>
            <w:r>
              <w:rPr/>
              <w:t> </w:t>
            </w:r>
          </w:p>
        </w:tc>
        <w:tc>
          <w:tcPr>
            <w:tcW w:w="67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5320"/>
        <w:gridCol w:w="60"/>
        <w:gridCol w:w="4825"/>
      </w:tblGrid>
      <w:tr>
        <w:trPr/>
        <w:tc>
          <w:tcPr>
            <w:tcW w:w="5320" w:type="dxa"/>
            <w:tcBorders/>
            <w:vAlign w:val="center"/>
          </w:tcPr>
          <w:p>
            <w:pPr>
              <w:pStyle w:val="TableContents"/>
              <w:bidi w:val="0"/>
              <w:spacing w:before="0" w:after="283"/>
              <w:jc w:val="both"/>
              <w:rPr>
                <w:sz w:val="20"/>
              </w:rPr>
            </w:pPr>
            <w:r>
              <w:rPr>
                <w:rFonts w:ascii="Times New Roman;Times;Serif" w:hAnsi="Times New Roman;Times;Serif"/>
                <w:b w:val="false"/>
                <w:i w:val="false"/>
                <w:caps w:val="false"/>
                <w:smallCaps w:val="false"/>
                <w:sz w:val="20"/>
              </w:rPr>
              <w:t>Resterende Warrants</w:t>
            </w:r>
            <w:r>
              <w:rPr>
                <w:rFonts w:ascii="Times New Roman;Times;Serif" w:hAnsi="Times New Roman;Times;Serif"/>
                <w:sz w:val="20"/>
              </w:rPr>
              <w:t>, som ikke er udnyttet på tidspunktet for udløbet af opsigelsesperioden, </w:t>
            </w:r>
            <w:r>
              <w:rPr>
                <w:rFonts w:ascii="Times New Roman;Times;Serif" w:hAnsi="Times New Roman;Times;Serif"/>
                <w:b w:val="false"/>
                <w:i w:val="false"/>
                <w:caps w:val="false"/>
                <w:smallCaps w:val="false"/>
                <w:sz w:val="20"/>
              </w:rPr>
              <w:t>bortfalder</w:t>
            </w:r>
            <w:r>
              <w:rPr>
                <w:rFonts w:ascii="Times New Roman;Times;Serif" w:hAnsi="Times New Roman;Times;Serif"/>
                <w:sz w:val="20"/>
              </w:rPr>
              <w:t>.</w:t>
            </w:r>
          </w:p>
        </w:tc>
        <w:tc>
          <w:tcPr>
            <w:tcW w:w="60" w:type="dxa"/>
            <w:tcBorders/>
            <w:vAlign w:val="center"/>
          </w:tcPr>
          <w:p>
            <w:pPr>
              <w:pStyle w:val="TableContents"/>
              <w:bidi w:val="0"/>
              <w:spacing w:before="0" w:after="283"/>
              <w:jc w:val="both"/>
              <w:rPr/>
            </w:pPr>
            <w:r>
              <w:rPr/>
              <w:t> </w:t>
            </w:r>
          </w:p>
        </w:tc>
        <w:tc>
          <w:tcPr>
            <w:tcW w:w="4825" w:type="dxa"/>
            <w:tcBorders/>
            <w:vAlign w:val="center"/>
          </w:tcPr>
          <w:p>
            <w:pPr>
              <w:pStyle w:val="TableContents"/>
              <w:bidi w:val="0"/>
              <w:spacing w:before="0" w:after="283"/>
              <w:jc w:val="both"/>
              <w:rPr>
                <w:sz w:val="20"/>
              </w:rPr>
            </w:pPr>
            <w:r>
              <w:rPr>
                <w:rFonts w:ascii="Times New Roman;Times;Serif" w:hAnsi="Times New Roman;Times;Serif"/>
                <w:b w:val="false"/>
                <w:i w:val="false"/>
                <w:caps w:val="false"/>
                <w:smallCaps w:val="false"/>
                <w:sz w:val="20"/>
              </w:rPr>
              <w:t>Remaining Warrants</w:t>
            </w:r>
            <w:r>
              <w:rPr>
                <w:sz w:val="20"/>
              </w:rPr>
              <w:t> </w:t>
            </w:r>
            <w:r>
              <w:rPr>
                <w:rFonts w:ascii="Times New Roman;Times;Serif" w:hAnsi="Times New Roman;Times;Serif"/>
                <w:sz w:val="20"/>
              </w:rPr>
              <w:t>not exercised at the time of the expiration of the notice period, </w:t>
            </w:r>
            <w:r>
              <w:rPr>
                <w:rFonts w:ascii="Times New Roman;Times;Serif" w:hAnsi="Times New Roman;Times;Serif"/>
                <w:b w:val="false"/>
                <w:i w:val="false"/>
                <w:caps w:val="false"/>
                <w:smallCaps w:val="false"/>
                <w:sz w:val="20"/>
              </w:rPr>
              <w:t>become null and void</w:t>
            </w:r>
            <w:r>
              <w:rPr>
                <w:rFonts w:ascii="Times New Roman;Times;Serif" w:hAnsi="Times New Roman;Times;Serif"/>
                <w:sz w:val="20"/>
              </w:rPr>
              <w:t>.</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485"/>
        <w:gridCol w:w="605"/>
        <w:gridCol w:w="3313"/>
        <w:gridCol w:w="60"/>
        <w:gridCol w:w="506"/>
        <w:gridCol w:w="5236"/>
      </w:tblGrid>
      <w:tr>
        <w:trPr/>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6.6 </w:t>
            </w:r>
          </w:p>
        </w:tc>
        <w:tc>
          <w:tcPr>
            <w:tcW w:w="3918"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[For nogle Warrantindehavere i henhold til individuel aftale: Uanset ovenstående, kan [antal] Warrants udnyttes i henhold til punkt 6.5 uagtet datoen for opsigelsen fra Warrantindehaverens side.]</w:t>
            </w:r>
          </w:p>
        </w:tc>
        <w:tc>
          <w:tcPr>
            <w:tcW w:w="60" w:type="dxa"/>
            <w:tcBorders/>
            <w:vAlign w:val="center"/>
          </w:tcPr>
          <w:p>
            <w:pPr>
              <w:pStyle w:val="TableContents"/>
              <w:bidi w:val="0"/>
              <w:spacing w:before="0" w:after="283"/>
              <w:jc w:val="both"/>
              <w:rPr/>
            </w:pPr>
            <w:r>
              <w:rPr/>
              <w:t> </w:t>
            </w:r>
          </w:p>
        </w:tc>
        <w:tc>
          <w:tcPr>
            <w:tcW w:w="5742" w:type="dxa"/>
            <w:gridSpan w:val="2"/>
            <w:tcBorders/>
            <w:vAlign w:val="center"/>
          </w:tcPr>
          <w:p>
            <w:pPr>
              <w:pStyle w:val="TableContents"/>
              <w:bidi w:val="0"/>
              <w:spacing w:before="0" w:after="283"/>
              <w:jc w:val="both"/>
              <w:rPr>
                <w:b/>
              </w:rPr>
            </w:pPr>
            <w:r>
              <w:rPr>
                <w:b/>
              </w:rPr>
              <w:t>[For some Warrantees subject to individual agreement: Notwithstanding the above, [number] Warrants shall be exercisable in accordance with Clause 6.5 regardless of the date of termination notice being served by the Warrantee.]      </w:t>
            </w:r>
          </w:p>
        </w:tc>
      </w:tr>
      <w:tr>
        <w:trPr/>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6.7 </w:t>
            </w:r>
          </w:p>
        </w:tc>
        <w:tc>
          <w:tcPr>
            <w:tcW w:w="3918"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Warrantindehaveren opsiger sin ansættelse i Selskabet begrundet i Selskabets grove misligholdelse, er Warrantindehaveren berettiget til at udnytte Warrants tildelt i henhold til denne Aftale i overensstemmelse med vilkårene i Aftalen, som om Warrantindehaveren stadig var ansat i Selskabet.</w:t>
            </w:r>
          </w:p>
        </w:tc>
        <w:tc>
          <w:tcPr>
            <w:tcW w:w="60" w:type="dxa"/>
            <w:tcBorders/>
            <w:vAlign w:val="center"/>
          </w:tcPr>
          <w:p>
            <w:pPr>
              <w:pStyle w:val="TableContents"/>
              <w:bidi w:val="0"/>
              <w:spacing w:before="0" w:after="283"/>
              <w:jc w:val="both"/>
              <w:rPr/>
            </w:pPr>
            <w:r>
              <w:rPr/>
              <w:t> </w:t>
            </w:r>
          </w:p>
        </w:tc>
        <w:tc>
          <w:tcPr>
            <w:tcW w:w="5742" w:type="dxa"/>
            <w:gridSpan w:val="2"/>
            <w:tcBorders/>
            <w:vAlign w:val="center"/>
          </w:tcPr>
          <w:p>
            <w:pPr>
              <w:pStyle w:val="TableContents"/>
              <w:bidi w:val="0"/>
              <w:spacing w:before="0" w:after="283"/>
              <w:jc w:val="both"/>
              <w:rPr/>
            </w:pPr>
            <w:r>
              <w:rPr/>
              <w:t>In the event that the Warrantee terminates the employment with the Company due to the Company's material breach (in Danish: "grov misligholdelse"), the Warrantee shall have the right to exercise any Warrants granted pursuant to this Agreement in accordance with the terms and conditions of this Agreement as if the Warrantee continued to be employed by the Company.      </w:t>
            </w:r>
          </w:p>
        </w:tc>
      </w:tr>
      <w:tr>
        <w:trPr/>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6.8</w:t>
            </w:r>
          </w:p>
        </w:tc>
        <w:tc>
          <w:tcPr>
            <w:tcW w:w="3918" w:type="dxa"/>
            <w:gridSpan w:val="2"/>
            <w:tcBorders/>
            <w:vAlign w:val="center"/>
          </w:tcPr>
          <w:p>
            <w:pPr>
              <w:pStyle w:val="TableContents"/>
              <w:bidi w:val="0"/>
              <w:spacing w:before="0" w:after="283"/>
              <w:jc w:val="both"/>
              <w:rPr/>
            </w:pPr>
            <w:r>
              <w:rPr/>
              <w:t>I tilfælde af Warrantindehaverens død, vil Warrantindehaverens bo eller Warrantindehaverens overlevende ægtefælle (hvis denne sidder i uskiftet bo) være berettiget til at udnytte Warrants i overensstemmelse med vilkårene i denne Aftale.</w:t>
            </w:r>
          </w:p>
        </w:tc>
        <w:tc>
          <w:tcPr>
            <w:tcW w:w="60" w:type="dxa"/>
            <w:tcBorders/>
            <w:vAlign w:val="center"/>
          </w:tcPr>
          <w:p>
            <w:pPr>
              <w:pStyle w:val="TableContents"/>
              <w:bidi w:val="0"/>
              <w:spacing w:before="0" w:after="283"/>
              <w:jc w:val="both"/>
              <w:rPr/>
            </w:pPr>
            <w:r>
              <w:rPr/>
              <w:t> </w:t>
            </w:r>
          </w:p>
        </w:tc>
        <w:tc>
          <w:tcPr>
            <w:tcW w:w="5742" w:type="dxa"/>
            <w:gridSpan w:val="2"/>
            <w:tcBorders/>
            <w:vAlign w:val="center"/>
          </w:tcPr>
          <w:p>
            <w:pPr>
              <w:pStyle w:val="TableContents"/>
              <w:bidi w:val="0"/>
              <w:spacing w:before="0" w:after="283"/>
              <w:jc w:val="both"/>
              <w:rPr/>
            </w:pPr>
            <w:r>
              <w:rPr/>
              <w:t>In the event of the death of the Warrantee, the estate of the Warrantee or the spouse of the Warrantee (if the surviving spouse retains undivided possession of the estate) shall have the right to exercise any Warrants in accordance with the terms and conditions of this Agreement.      </w:t>
            </w:r>
          </w:p>
        </w:tc>
      </w:tr>
      <w:tr>
        <w:trPr/>
        <w:tc>
          <w:tcPr>
            <w:tcW w:w="485" w:type="dxa"/>
            <w:tcBorders/>
            <w:vAlign w:val="center"/>
          </w:tcPr>
          <w:p>
            <w:pPr>
              <w:pStyle w:val="TableContents"/>
              <w:bidi w:val="0"/>
              <w:spacing w:before="0" w:after="283"/>
              <w:jc w:val="both"/>
              <w:rPr>
                <w:b/>
              </w:rPr>
            </w:pPr>
            <w:r>
              <w:rPr>
                <w:b/>
              </w:rPr>
              <w:t>7  </w:t>
            </w:r>
          </w:p>
        </w:tc>
        <w:tc>
          <w:tcPr>
            <w:tcW w:w="3918"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Ændring i retsstilling eller selskabskapital</w:t>
            </w:r>
          </w:p>
        </w:tc>
        <w:tc>
          <w:tcPr>
            <w:tcW w:w="60" w:type="dxa"/>
            <w:tcBorders/>
            <w:vAlign w:val="center"/>
          </w:tcPr>
          <w:p>
            <w:pPr>
              <w:pStyle w:val="TableContents"/>
              <w:bidi w:val="0"/>
              <w:spacing w:before="0" w:after="283"/>
              <w:jc w:val="both"/>
              <w:rPr/>
            </w:pPr>
            <w:r>
              <w:rPr/>
              <w:t> </w:t>
            </w:r>
          </w:p>
        </w:tc>
        <w:tc>
          <w:tcPr>
            <w:tcW w:w="5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7 </w:t>
            </w:r>
          </w:p>
        </w:tc>
        <w:tc>
          <w:tcPr>
            <w:tcW w:w="5236" w:type="dxa"/>
            <w:tcBorders/>
            <w:vAlign w:val="center"/>
          </w:tcPr>
          <w:p>
            <w:pPr>
              <w:pStyle w:val="TableContents"/>
              <w:bidi w:val="0"/>
              <w:spacing w:before="0" w:after="283"/>
              <w:jc w:val="both"/>
              <w:rPr>
                <w:b/>
              </w:rPr>
            </w:pPr>
            <w:r>
              <w:rPr>
                <w:b/>
              </w:rPr>
              <w:t>Change of legal status or share capital      </w:t>
            </w:r>
          </w:p>
        </w:tc>
      </w:tr>
      <w:tr>
        <w:trPr/>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w:t>
            </w:r>
          </w:p>
        </w:tc>
        <w:tc>
          <w:tcPr>
            <w:tcW w:w="3918"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Ændring i selskabskapital</w:t>
            </w:r>
          </w:p>
        </w:tc>
        <w:tc>
          <w:tcPr>
            <w:tcW w:w="60" w:type="dxa"/>
            <w:tcBorders/>
            <w:vAlign w:val="center"/>
          </w:tcPr>
          <w:p>
            <w:pPr>
              <w:pStyle w:val="TableContents"/>
              <w:bidi w:val="0"/>
              <w:spacing w:before="0" w:after="283"/>
              <w:jc w:val="both"/>
              <w:rPr/>
            </w:pPr>
            <w:r>
              <w:rPr/>
              <w:t> </w:t>
            </w:r>
          </w:p>
        </w:tc>
        <w:tc>
          <w:tcPr>
            <w:tcW w:w="5742" w:type="dxa"/>
            <w:gridSpan w:val="2"/>
            <w:tcBorders/>
            <w:vAlign w:val="center"/>
          </w:tcPr>
          <w:p>
            <w:pPr>
              <w:pStyle w:val="TableContents"/>
              <w:bidi w:val="0"/>
              <w:spacing w:before="0" w:after="283"/>
              <w:jc w:val="both"/>
              <w:rPr>
                <w:i/>
              </w:rPr>
            </w:pPr>
            <w:r>
              <w:rPr>
                <w:i/>
              </w:rPr>
              <w:t>Change of Share Capital      </w:t>
            </w:r>
          </w:p>
        </w:tc>
      </w:tr>
      <w:tr>
        <w:trPr/>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7.1.1 </w:t>
            </w:r>
          </w:p>
        </w:tc>
        <w:tc>
          <w:tcPr>
            <w:tcW w:w="3918"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tilfælde af ændringer i Selskabets selskabskapital, herunder men ikke begrænset til:</w:t>
            </w:r>
          </w:p>
        </w:tc>
        <w:tc>
          <w:tcPr>
            <w:tcW w:w="60" w:type="dxa"/>
            <w:tcBorders/>
            <w:vAlign w:val="center"/>
          </w:tcPr>
          <w:p>
            <w:pPr>
              <w:pStyle w:val="TableContents"/>
              <w:bidi w:val="0"/>
              <w:spacing w:before="0" w:after="283"/>
              <w:jc w:val="both"/>
              <w:rPr/>
            </w:pPr>
            <w:r>
              <w:rPr/>
              <w:t> </w:t>
            </w:r>
          </w:p>
        </w:tc>
        <w:tc>
          <w:tcPr>
            <w:tcW w:w="5742" w:type="dxa"/>
            <w:gridSpan w:val="2"/>
            <w:tcBorders/>
            <w:vAlign w:val="center"/>
          </w:tcPr>
          <w:p>
            <w:pPr>
              <w:pStyle w:val="TableContents"/>
              <w:bidi w:val="0"/>
              <w:spacing w:before="0" w:after="283"/>
              <w:jc w:val="both"/>
              <w:rPr/>
            </w:pPr>
            <w:r>
              <w:rPr/>
              <w:t>In case of changes in the Company's share capital including but not limited to:      </w:t>
            </w:r>
          </w:p>
        </w:tc>
      </w:tr>
      <w:tr>
        <w:trPr/>
        <w:tc>
          <w:tcPr>
            <w:tcW w:w="485" w:type="dxa"/>
            <w:tcBorders/>
            <w:vAlign w:val="center"/>
          </w:tcPr>
          <w:p>
            <w:pPr>
              <w:pStyle w:val="TableContents"/>
              <w:bidi w:val="0"/>
              <w:spacing w:before="0" w:after="283"/>
              <w:jc w:val="both"/>
              <w:rPr/>
            </w:pPr>
            <w:r>
              <w:rPr/>
              <w:t> </w:t>
            </w:r>
          </w:p>
        </w:tc>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33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forøgelse af selskabskapitalen,</w:t>
            </w:r>
          </w:p>
        </w:tc>
        <w:tc>
          <w:tcPr>
            <w:tcW w:w="60" w:type="dxa"/>
            <w:tcBorders/>
            <w:vAlign w:val="center"/>
          </w:tcPr>
          <w:p>
            <w:pPr>
              <w:pStyle w:val="TableContents"/>
              <w:bidi w:val="0"/>
              <w:spacing w:before="0" w:after="283"/>
              <w:jc w:val="both"/>
              <w:rPr/>
            </w:pPr>
            <w:r>
              <w:rPr/>
              <w:t> </w:t>
            </w:r>
          </w:p>
        </w:tc>
        <w:tc>
          <w:tcPr>
            <w:tcW w:w="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5236" w:type="dxa"/>
            <w:tcBorders/>
            <w:vAlign w:val="center"/>
          </w:tcPr>
          <w:p>
            <w:pPr>
              <w:pStyle w:val="TableContents"/>
              <w:bidi w:val="0"/>
              <w:spacing w:before="0" w:after="283"/>
              <w:jc w:val="both"/>
              <w:rPr/>
            </w:pPr>
            <w:r>
              <w:rPr/>
              <w:t>increase of the share capital,</w:t>
            </w:r>
          </w:p>
        </w:tc>
      </w:tr>
      <w:tr>
        <w:trPr/>
        <w:tc>
          <w:tcPr>
            <w:tcW w:w="485" w:type="dxa"/>
            <w:tcBorders/>
            <w:vAlign w:val="center"/>
          </w:tcPr>
          <w:p>
            <w:pPr>
              <w:pStyle w:val="TableContents"/>
              <w:bidi w:val="0"/>
              <w:spacing w:before="0" w:after="283"/>
              <w:jc w:val="both"/>
              <w:rPr/>
            </w:pPr>
            <w:r>
              <w:rPr/>
              <w:t> </w:t>
            </w:r>
          </w:p>
        </w:tc>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(ii) </w:t>
            </w:r>
          </w:p>
        </w:tc>
        <w:tc>
          <w:tcPr>
            <w:tcW w:w="33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udstedelse af konvertible obligationer,</w:t>
            </w:r>
          </w:p>
        </w:tc>
        <w:tc>
          <w:tcPr>
            <w:tcW w:w="60" w:type="dxa"/>
            <w:tcBorders/>
            <w:vAlign w:val="center"/>
          </w:tcPr>
          <w:p>
            <w:pPr>
              <w:pStyle w:val="TableContents"/>
              <w:bidi w:val="0"/>
              <w:spacing w:before="0" w:after="283"/>
              <w:jc w:val="both"/>
              <w:rPr/>
            </w:pPr>
            <w:r>
              <w:rPr/>
              <w:t> </w:t>
            </w:r>
          </w:p>
        </w:tc>
        <w:tc>
          <w:tcPr>
            <w:tcW w:w="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5236" w:type="dxa"/>
            <w:tcBorders/>
            <w:vAlign w:val="center"/>
          </w:tcPr>
          <w:p>
            <w:pPr>
              <w:pStyle w:val="TableContents"/>
              <w:bidi w:val="0"/>
              <w:spacing w:before="0" w:after="283"/>
              <w:jc w:val="both"/>
              <w:rPr/>
            </w:pPr>
            <w:r>
              <w:rPr/>
              <w:t>issuance of convertible bonds,      </w:t>
            </w:r>
          </w:p>
        </w:tc>
      </w:tr>
      <w:tr>
        <w:trPr/>
        <w:tc>
          <w:tcPr>
            <w:tcW w:w="485" w:type="dxa"/>
            <w:tcBorders/>
            <w:vAlign w:val="center"/>
          </w:tcPr>
          <w:p>
            <w:pPr>
              <w:pStyle w:val="TableContents"/>
              <w:bidi w:val="0"/>
              <w:spacing w:before="0" w:after="283"/>
              <w:jc w:val="both"/>
              <w:rPr/>
            </w:pPr>
            <w:r>
              <w:rPr/>
              <w:t> </w:t>
            </w:r>
          </w:p>
        </w:tc>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33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udstedelse af nye tegningsretter, eller</w:t>
            </w:r>
          </w:p>
        </w:tc>
        <w:tc>
          <w:tcPr>
            <w:tcW w:w="60" w:type="dxa"/>
            <w:tcBorders/>
            <w:vAlign w:val="center"/>
          </w:tcPr>
          <w:p>
            <w:pPr>
              <w:pStyle w:val="TableContents"/>
              <w:bidi w:val="0"/>
              <w:spacing w:before="0" w:after="283"/>
              <w:jc w:val="both"/>
              <w:rPr/>
            </w:pPr>
            <w:r>
              <w:rPr/>
              <w:t> </w:t>
            </w:r>
          </w:p>
        </w:tc>
        <w:tc>
          <w:tcPr>
            <w:tcW w:w="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5236" w:type="dxa"/>
            <w:tcBorders/>
            <w:vAlign w:val="center"/>
          </w:tcPr>
          <w:p>
            <w:pPr>
              <w:pStyle w:val="TableContents"/>
              <w:bidi w:val="0"/>
              <w:spacing w:before="0" w:after="283"/>
              <w:jc w:val="both"/>
              <w:rPr/>
            </w:pPr>
            <w:r>
              <w:rPr/>
              <w:t>issuance of new subscription rights, or      </w:t>
            </w:r>
          </w:p>
        </w:tc>
      </w:tr>
      <w:tr>
        <w:trPr/>
        <w:tc>
          <w:tcPr>
            <w:tcW w:w="485" w:type="dxa"/>
            <w:tcBorders/>
            <w:vAlign w:val="center"/>
          </w:tcPr>
          <w:p>
            <w:pPr>
              <w:pStyle w:val="TableContents"/>
              <w:bidi w:val="0"/>
              <w:spacing w:before="0" w:after="283"/>
              <w:jc w:val="both"/>
              <w:rPr/>
            </w:pPr>
            <w:r>
              <w:rPr/>
              <w:t> </w:t>
            </w:r>
          </w:p>
        </w:tc>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33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nedsættelse af selskabskapitalen,</w:t>
            </w:r>
          </w:p>
        </w:tc>
        <w:tc>
          <w:tcPr>
            <w:tcW w:w="60" w:type="dxa"/>
            <w:tcBorders/>
            <w:vAlign w:val="center"/>
          </w:tcPr>
          <w:p>
            <w:pPr>
              <w:pStyle w:val="TableContents"/>
              <w:bidi w:val="0"/>
              <w:spacing w:before="0" w:after="283"/>
              <w:jc w:val="both"/>
              <w:rPr/>
            </w:pPr>
            <w:r>
              <w:rPr/>
              <w:t> </w:t>
            </w:r>
          </w:p>
        </w:tc>
        <w:tc>
          <w:tcPr>
            <w:tcW w:w="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5236" w:type="dxa"/>
            <w:tcBorders/>
            <w:vAlign w:val="center"/>
          </w:tcPr>
          <w:p>
            <w:pPr>
              <w:pStyle w:val="TableContents"/>
              <w:bidi w:val="0"/>
              <w:spacing w:before="0" w:after="283"/>
              <w:jc w:val="both"/>
              <w:rPr/>
            </w:pPr>
            <w:r>
              <w:rPr/>
              <w:t>decrease of the share capital,      </w:t>
            </w:r>
          </w:p>
        </w:tc>
      </w:tr>
      <w:tr>
        <w:trPr/>
        <w:tc>
          <w:tcPr>
            <w:tcW w:w="485" w:type="dxa"/>
            <w:tcBorders/>
            <w:vAlign w:val="center"/>
          </w:tcPr>
          <w:p>
            <w:pPr>
              <w:pStyle w:val="TableContents"/>
              <w:bidi w:val="0"/>
              <w:spacing w:before="0" w:after="283"/>
              <w:jc w:val="both"/>
              <w:rPr/>
            </w:pPr>
            <w:r>
              <w:rPr/>
              <w:t> </w:t>
            </w:r>
          </w:p>
        </w:tc>
        <w:tc>
          <w:tcPr>
            <w:tcW w:w="3918" w:type="dxa"/>
            <w:gridSpan w:val="2"/>
            <w:tcBorders/>
            <w:vAlign w:val="center"/>
          </w:tcPr>
          <w:p>
            <w:pPr>
              <w:pStyle w:val="TableContents"/>
              <w:bidi w:val="0"/>
              <w:spacing w:before="0" w:after="283"/>
              <w:jc w:val="both"/>
              <w:rPr/>
            </w:pPr>
            <w:r>
              <w:rPr/>
              <w:t>uanset om dette sker til en kurs, der er lig med markedskursen for Selskabets kapitalandele, eller til en overkurs, eller hvis ændringerne nævnt i 7.1.1 (i)-(iv) sker til favørkurs, sker der ingen regulering i Warrants.</w:t>
            </w:r>
          </w:p>
        </w:tc>
        <w:tc>
          <w:tcPr>
            <w:tcW w:w="60" w:type="dxa"/>
            <w:tcBorders/>
            <w:vAlign w:val="center"/>
          </w:tcPr>
          <w:p>
            <w:pPr>
              <w:pStyle w:val="TableContents"/>
              <w:bidi w:val="0"/>
              <w:spacing w:before="0" w:after="283"/>
              <w:jc w:val="both"/>
              <w:rPr/>
            </w:pPr>
            <w:r>
              <w:rPr/>
              <w:t> </w:t>
            </w:r>
          </w:p>
        </w:tc>
        <w:tc>
          <w:tcPr>
            <w:tcW w:w="5742" w:type="dxa"/>
            <w:gridSpan w:val="2"/>
            <w:tcBorders/>
            <w:vAlign w:val="center"/>
          </w:tcPr>
          <w:p>
            <w:pPr>
              <w:pStyle w:val="TableContents"/>
              <w:bidi w:val="0"/>
              <w:spacing w:before="0" w:after="283"/>
              <w:jc w:val="both"/>
              <w:rPr/>
            </w:pPr>
            <w:r>
              <w:rPr/>
              <w:t>whether at a rate that is equal to the market price of the shares of the Company or at premium rate ("overkurs"), or if the changes mentioned in Clause 7.1.1 (i)-(iv) are made at a special price (“favørkurs”), no regulation of Warrants shall occur.</w:t>
            </w:r>
          </w:p>
        </w:tc>
      </w:tr>
      <w:tr>
        <w:trPr/>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7.1.2</w:t>
            </w:r>
          </w:p>
        </w:tc>
        <w:tc>
          <w:tcPr>
            <w:tcW w:w="3918" w:type="dxa"/>
            <w:gridSpan w:val="2"/>
            <w:tcBorders/>
            <w:vAlign w:val="center"/>
          </w:tcPr>
          <w:p>
            <w:pPr>
              <w:pStyle w:val="TableContents"/>
              <w:bidi w:val="0"/>
              <w:spacing w:before="0" w:after="283"/>
              <w:jc w:val="both"/>
              <w:rPr/>
            </w:pPr>
            <w:r>
              <w:rPr/>
              <w:t>Hvis den nominelle værdi af Selskabets kapitalandele ændres, skal antallet af Warrants (antal af kapitalandele) og/eller Udnyttelsesprisen tilpasses, således at værdien af Warrants ikke bliver påvirket af sådanne ændringer.</w:t>
            </w:r>
          </w:p>
        </w:tc>
        <w:tc>
          <w:tcPr>
            <w:tcW w:w="60" w:type="dxa"/>
            <w:tcBorders/>
            <w:vAlign w:val="center"/>
          </w:tcPr>
          <w:p>
            <w:pPr>
              <w:pStyle w:val="TableContents"/>
              <w:bidi w:val="0"/>
              <w:spacing w:before="0" w:after="283"/>
              <w:jc w:val="both"/>
              <w:rPr/>
            </w:pPr>
            <w:r>
              <w:rPr/>
              <w:t> </w:t>
            </w:r>
          </w:p>
        </w:tc>
        <w:tc>
          <w:tcPr>
            <w:tcW w:w="5742" w:type="dxa"/>
            <w:gridSpan w:val="2"/>
            <w:tcBorders/>
            <w:vAlign w:val="center"/>
          </w:tcPr>
          <w:p>
            <w:pPr>
              <w:pStyle w:val="TableContents"/>
              <w:bidi w:val="0"/>
              <w:spacing w:before="0" w:after="0"/>
              <w:ind w:left="0" w:right="0" w:hanging="0"/>
              <w:jc w:val="both"/>
              <w:rPr>
                <w:sz w:val="20"/>
              </w:rPr>
            </w:pPr>
            <w:r>
              <w:rPr>
                <w:rFonts w:ascii="Times New Roman;Times;Serif" w:hAnsi="Times New Roman;Times;Serif"/>
                <w:sz w:val="20"/>
              </w:rPr>
              <w:t xml:space="preserve">If </w:t>
            </w:r>
            <w:r>
              <w:rPr>
                <w:sz w:val="20"/>
              </w:rPr>
              <w:t>the nominal value of the shares of the Company is amended, the number of Warrants (number of shares) and/or the Exercise Price shall be adjusted, so that the value of the Warrants is not affected by the said amendments.</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485"/>
        <w:gridCol w:w="327"/>
        <w:gridCol w:w="4823"/>
        <w:gridCol w:w="60"/>
        <w:gridCol w:w="317"/>
        <w:gridCol w:w="4193"/>
      </w:tblGrid>
      <w:tr>
        <w:trPr/>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7.1.3 </w:t>
            </w:r>
          </w:p>
        </w:tc>
        <w:tc>
          <w:tcPr>
            <w:tcW w:w="515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selskabskapitalen nedsættes til dækning af tab, skal antallet af kapitalandele, som Warrantindehaveren kan tegne gennem udnyttelse af Warrants, reduceres (nedrundet) forholdsmæssigt til den nominelle reduktion af kapitalen sammenholdt med Selskabets totale nominelle selskabskapital før reduktionen</w:t>
            </w:r>
          </w:p>
        </w:tc>
        <w:tc>
          <w:tcPr>
            <w:tcW w:w="60" w:type="dxa"/>
            <w:tcBorders/>
            <w:vAlign w:val="center"/>
          </w:tcPr>
          <w:p>
            <w:pPr>
              <w:pStyle w:val="TableContents"/>
              <w:bidi w:val="0"/>
              <w:spacing w:before="0" w:after="283"/>
              <w:jc w:val="both"/>
              <w:rPr/>
            </w:pPr>
            <w:r>
              <w:rPr/>
              <w:t> </w:t>
            </w:r>
          </w:p>
        </w:tc>
        <w:tc>
          <w:tcPr>
            <w:tcW w:w="4510" w:type="dxa"/>
            <w:gridSpan w:val="2"/>
            <w:tcBorders/>
            <w:vAlign w:val="center"/>
          </w:tcPr>
          <w:p>
            <w:pPr>
              <w:pStyle w:val="TableContents"/>
              <w:bidi w:val="0"/>
              <w:spacing w:before="0" w:after="0"/>
              <w:ind w:left="0" w:right="0" w:hanging="0"/>
              <w:jc w:val="both"/>
              <w:rPr>
                <w:sz w:val="20"/>
              </w:rPr>
            </w:pPr>
            <w:r>
              <w:rPr>
                <w:rFonts w:ascii="Times New Roman;Times;Serif" w:hAnsi="Times New Roman;Times;Serif"/>
                <w:sz w:val="20"/>
              </w:rPr>
              <w:t xml:space="preserve">If the share capital is reduced in order to cover losses, the number of shares for which the Warrantee may subscribe by exercising the Warrants shall be </w:t>
            </w:r>
            <w:r>
              <w:rPr>
                <w:sz w:val="20"/>
              </w:rPr>
              <w:t>reduced (rounded down) proportionately to the nominal reduction of the capital compared to the total nominal share capital of the Company before the reduction.</w:t>
            </w:r>
          </w:p>
        </w:tc>
      </w:tr>
      <w:tr>
        <w:trPr/>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7.2 </w:t>
            </w:r>
          </w:p>
        </w:tc>
        <w:tc>
          <w:tcPr>
            <w:tcW w:w="515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Andre ændringer</w:t>
            </w:r>
          </w:p>
        </w:tc>
        <w:tc>
          <w:tcPr>
            <w:tcW w:w="60" w:type="dxa"/>
            <w:tcBorders/>
            <w:vAlign w:val="center"/>
          </w:tcPr>
          <w:p>
            <w:pPr>
              <w:pStyle w:val="TableContents"/>
              <w:bidi w:val="0"/>
              <w:spacing w:before="0" w:after="283"/>
              <w:jc w:val="both"/>
              <w:rPr/>
            </w:pPr>
            <w:r>
              <w:rPr/>
              <w:t> </w:t>
            </w:r>
          </w:p>
        </w:tc>
        <w:tc>
          <w:tcPr>
            <w:tcW w:w="4510" w:type="dxa"/>
            <w:gridSpan w:val="2"/>
            <w:tcBorders/>
            <w:vAlign w:val="center"/>
          </w:tcPr>
          <w:p>
            <w:pPr>
              <w:pStyle w:val="TableContents"/>
              <w:bidi w:val="0"/>
              <w:spacing w:before="0" w:after="283"/>
              <w:jc w:val="both"/>
              <w:rPr/>
            </w:pPr>
            <w:r>
              <w:rPr/>
              <w:t>Other Changes      </w:t>
            </w:r>
          </w:p>
        </w:tc>
      </w:tr>
      <w:tr>
        <w:trPr/>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7.2.1</w:t>
            </w:r>
          </w:p>
        </w:tc>
        <w:tc>
          <w:tcPr>
            <w:tcW w:w="515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der træffes beslutning om</w:t>
            </w:r>
          </w:p>
        </w:tc>
        <w:tc>
          <w:tcPr>
            <w:tcW w:w="60" w:type="dxa"/>
            <w:tcBorders/>
            <w:vAlign w:val="center"/>
          </w:tcPr>
          <w:p>
            <w:pPr>
              <w:pStyle w:val="TableContents"/>
              <w:bidi w:val="0"/>
              <w:spacing w:before="0" w:after="283"/>
              <w:jc w:val="both"/>
              <w:rPr/>
            </w:pPr>
            <w:r>
              <w:rPr/>
              <w:t> </w:t>
            </w:r>
          </w:p>
        </w:tc>
        <w:tc>
          <w:tcPr>
            <w:tcW w:w="4510" w:type="dxa"/>
            <w:gridSpan w:val="2"/>
            <w:tcBorders/>
            <w:vAlign w:val="center"/>
          </w:tcPr>
          <w:p>
            <w:pPr>
              <w:pStyle w:val="TableContents"/>
              <w:bidi w:val="0"/>
              <w:spacing w:before="0" w:after="283"/>
              <w:jc w:val="both"/>
              <w:rPr/>
            </w:pPr>
            <w:r>
              <w:rPr/>
              <w:t>If a resolution is made to </w:t>
            </w:r>
          </w:p>
        </w:tc>
      </w:tr>
      <w:tr>
        <w:trPr/>
        <w:tc>
          <w:tcPr>
            <w:tcW w:w="485" w:type="dxa"/>
            <w:tcBorders/>
            <w:vAlign w:val="center"/>
          </w:tcPr>
          <w:p>
            <w:pPr>
              <w:pStyle w:val="TableContents"/>
              <w:bidi w:val="0"/>
              <w:spacing w:before="0" w:after="283"/>
              <w:jc w:val="both"/>
              <w:rPr/>
            </w:pPr>
            <w:r>
              <w:rPr/>
              <w:t> </w:t>
            </w:r>
          </w:p>
        </w:tc>
        <w:tc>
          <w:tcPr>
            <w:tcW w:w="3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48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likvidere eller afvikle Selskabet,</w:t>
            </w:r>
          </w:p>
        </w:tc>
        <w:tc>
          <w:tcPr>
            <w:tcW w:w="60" w:type="dxa"/>
            <w:tcBorders/>
            <w:vAlign w:val="center"/>
          </w:tcPr>
          <w:p>
            <w:pPr>
              <w:pStyle w:val="TableContents"/>
              <w:bidi w:val="0"/>
              <w:spacing w:before="0" w:after="283"/>
              <w:jc w:val="both"/>
              <w:rPr/>
            </w:pPr>
            <w:r>
              <w:rPr/>
              <w:t> </w:t>
            </w:r>
          </w:p>
        </w:tc>
        <w:tc>
          <w:tcPr>
            <w:tcW w:w="3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4193" w:type="dxa"/>
            <w:tcBorders/>
            <w:vAlign w:val="center"/>
          </w:tcPr>
          <w:p>
            <w:pPr>
              <w:pStyle w:val="TableContents"/>
              <w:bidi w:val="0"/>
              <w:spacing w:before="0" w:after="283"/>
              <w:jc w:val="both"/>
              <w:rPr/>
            </w:pPr>
            <w:r>
              <w:rPr/>
              <w:t>liquidate or wind up the Company,      </w:t>
            </w:r>
          </w:p>
        </w:tc>
      </w:tr>
      <w:tr>
        <w:trPr/>
        <w:tc>
          <w:tcPr>
            <w:tcW w:w="485" w:type="dxa"/>
            <w:tcBorders/>
            <w:vAlign w:val="center"/>
          </w:tcPr>
          <w:p>
            <w:pPr>
              <w:pStyle w:val="TableContents"/>
              <w:bidi w:val="0"/>
              <w:spacing w:before="0" w:after="283"/>
              <w:jc w:val="both"/>
              <w:rPr/>
            </w:pPr>
            <w:r>
              <w:rPr/>
              <w:t> </w:t>
            </w:r>
          </w:p>
        </w:tc>
        <w:tc>
          <w:tcPr>
            <w:tcW w:w="3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48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spalte Selskabet eller</w:t>
            </w:r>
          </w:p>
        </w:tc>
        <w:tc>
          <w:tcPr>
            <w:tcW w:w="60" w:type="dxa"/>
            <w:tcBorders/>
            <w:vAlign w:val="center"/>
          </w:tcPr>
          <w:p>
            <w:pPr>
              <w:pStyle w:val="TableContents"/>
              <w:bidi w:val="0"/>
              <w:spacing w:before="0" w:after="283"/>
              <w:jc w:val="both"/>
              <w:rPr/>
            </w:pPr>
            <w:r>
              <w:rPr/>
              <w:t> </w:t>
            </w:r>
          </w:p>
        </w:tc>
        <w:tc>
          <w:tcPr>
            <w:tcW w:w="3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4193" w:type="dxa"/>
            <w:tcBorders/>
            <w:vAlign w:val="center"/>
          </w:tcPr>
          <w:p>
            <w:pPr>
              <w:pStyle w:val="TableContents"/>
              <w:bidi w:val="0"/>
              <w:spacing w:before="0" w:after="283"/>
              <w:jc w:val="both"/>
              <w:rPr/>
            </w:pPr>
            <w:r>
              <w:rPr/>
              <w:t>demerge the Company, or      </w:t>
            </w:r>
          </w:p>
        </w:tc>
      </w:tr>
      <w:tr>
        <w:trPr/>
        <w:tc>
          <w:tcPr>
            <w:tcW w:w="485" w:type="dxa"/>
            <w:tcBorders/>
            <w:vAlign w:val="center"/>
          </w:tcPr>
          <w:p>
            <w:pPr>
              <w:pStyle w:val="TableContents"/>
              <w:bidi w:val="0"/>
              <w:spacing w:before="0" w:after="283"/>
              <w:jc w:val="both"/>
              <w:rPr/>
            </w:pPr>
            <w:r>
              <w:rPr/>
              <w:t> </w:t>
            </w:r>
          </w:p>
        </w:tc>
        <w:tc>
          <w:tcPr>
            <w:tcW w:w="3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48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gennemføre en kapitalandelsombytning, der omfatter samtlige kapitalandele i Selskabet (oprettelse af et holdingselskab/apportindskud),</w:t>
            </w:r>
          </w:p>
        </w:tc>
        <w:tc>
          <w:tcPr>
            <w:tcW w:w="60" w:type="dxa"/>
            <w:tcBorders/>
            <w:vAlign w:val="center"/>
          </w:tcPr>
          <w:p>
            <w:pPr>
              <w:pStyle w:val="TableContents"/>
              <w:bidi w:val="0"/>
              <w:spacing w:before="0" w:after="283"/>
              <w:jc w:val="both"/>
              <w:rPr/>
            </w:pPr>
            <w:r>
              <w:rPr/>
              <w:t> </w:t>
            </w:r>
          </w:p>
        </w:tc>
        <w:tc>
          <w:tcPr>
            <w:tcW w:w="3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4193" w:type="dxa"/>
            <w:tcBorders/>
            <w:vAlign w:val="center"/>
          </w:tcPr>
          <w:p>
            <w:pPr>
              <w:pStyle w:val="TableContents"/>
              <w:bidi w:val="0"/>
              <w:spacing w:before="0" w:after="283"/>
              <w:jc w:val="both"/>
              <w:rPr/>
            </w:pPr>
            <w:r>
              <w:rPr/>
              <w:t>effect an exchange of shares which includes all shares in the Company (establishment of a holding company/non-cash contribution),      </w:t>
            </w:r>
          </w:p>
        </w:tc>
      </w:tr>
      <w:tr>
        <w:trPr/>
        <w:tc>
          <w:tcPr>
            <w:tcW w:w="485" w:type="dxa"/>
            <w:tcBorders/>
            <w:vAlign w:val="center"/>
          </w:tcPr>
          <w:p>
            <w:pPr>
              <w:pStyle w:val="TableContents"/>
              <w:bidi w:val="0"/>
              <w:spacing w:before="0" w:after="283"/>
              <w:jc w:val="both"/>
              <w:rPr/>
            </w:pPr>
            <w:r>
              <w:rPr/>
              <w:t> </w:t>
            </w:r>
          </w:p>
        </w:tc>
        <w:tc>
          <w:tcPr>
            <w:tcW w:w="5150" w:type="dxa"/>
            <w:gridSpan w:val="2"/>
            <w:tcBorders/>
            <w:vAlign w:val="center"/>
          </w:tcPr>
          <w:p>
            <w:pPr>
              <w:pStyle w:val="TableContents"/>
              <w:bidi w:val="0"/>
              <w:spacing w:before="0" w:after="283"/>
              <w:jc w:val="both"/>
              <w:rPr/>
            </w:pPr>
            <w:r>
              <w:rPr/>
              <w:t>er Warrantindehaveren berettiget til at udnytte Warrants på ikrafttrædelsesdatoen for den relevante ændring, jf. dog punkt 7.2.2. Selskabets Bestyrelse skal skriftligt meddele Warrantindehaveren, hvis der træffes en af de ovennævnte beslutninger, og Warrantindehaveren kan udnytte samtlige Warrants inden for 30 dage fra datoen for meddelelsen. Samtlige Warrants, som Selskabets Bestyrelse ikke har modtaget en Udnyttelsesmeddelelse for inden udgangen af 30 dages fristen, bortfalder automatisk uden yderligere varsel eller kompensation, medmindre de erstattes i henhold til punkt 7.2.2.</w:t>
            </w:r>
          </w:p>
        </w:tc>
        <w:tc>
          <w:tcPr>
            <w:tcW w:w="60" w:type="dxa"/>
            <w:tcBorders/>
            <w:vAlign w:val="center"/>
          </w:tcPr>
          <w:p>
            <w:pPr>
              <w:pStyle w:val="TableContents"/>
              <w:bidi w:val="0"/>
              <w:spacing w:before="0" w:after="283"/>
              <w:jc w:val="both"/>
              <w:rPr/>
            </w:pPr>
            <w:r>
              <w:rPr/>
              <w:t> </w:t>
            </w:r>
          </w:p>
        </w:tc>
        <w:tc>
          <w:tcPr>
            <w:tcW w:w="4510" w:type="dxa"/>
            <w:gridSpan w:val="2"/>
            <w:tcBorders/>
            <w:vAlign w:val="center"/>
          </w:tcPr>
          <w:p>
            <w:pPr>
              <w:pStyle w:val="TableContents"/>
              <w:bidi w:val="0"/>
              <w:spacing w:before="0" w:after="283"/>
              <w:jc w:val="both"/>
              <w:rPr/>
            </w:pPr>
            <w:r>
              <w:rPr/>
              <w:t>the Warrantee shall be entitled to exercise his/her Warrants on the effective date of the relevant change, see however Clause 7.2.2. The Company’s Board shall give written notice to the Warrantee if one of the above resolutions is made and the Warrantee may exercise all such Warrants within 30 days from the date of such notice. If the Board has not received an Exercise Notice prior to the expiry of the 30 days' notice, the Warrants will automatically and without further notice be cancelled and become void without notice or compensation unless replaced in accordance with Clause 7.2.2.</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485"/>
        <w:gridCol w:w="303"/>
        <w:gridCol w:w="4559"/>
        <w:gridCol w:w="60"/>
        <w:gridCol w:w="126"/>
        <w:gridCol w:w="267"/>
        <w:gridCol w:w="4405"/>
      </w:tblGrid>
      <w:tr>
        <w:trPr/>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7.2.2 </w:t>
            </w:r>
          </w:p>
        </w:tc>
        <w:tc>
          <w:tcPr>
            <w:tcW w:w="4862" w:type="dxa"/>
            <w:gridSpan w:val="2"/>
            <w:tcBorders/>
            <w:vAlign w:val="center"/>
          </w:tcPr>
          <w:p>
            <w:pPr>
              <w:pStyle w:val="TableContents"/>
              <w:bidi w:val="0"/>
              <w:spacing w:before="0" w:after="283"/>
              <w:jc w:val="both"/>
              <w:rPr/>
            </w:pPr>
            <w:r>
              <w:rPr/>
              <w:t>Hvis Selskabet indgår i en fusion, spaltning eller kapitalandelsombytning, der omfatter samtlige kapitalandele i Selskabet (oprettelse af et holdingselskab/apportindskud), er Selskabet berettiget, men ikke forpligtet til at anmode om, at Warrants erstattes med retten til at tegne kapitalandele i de(t) modtagende selskab(er), forudsat at de(t) fortsættende selskab(er) er enig heri.</w:t>
            </w:r>
          </w:p>
        </w:tc>
        <w:tc>
          <w:tcPr>
            <w:tcW w:w="60" w:type="dxa"/>
            <w:tcBorders/>
            <w:vAlign w:val="center"/>
          </w:tcPr>
          <w:p>
            <w:pPr>
              <w:pStyle w:val="TableContents"/>
              <w:bidi w:val="0"/>
              <w:spacing w:before="0" w:after="283"/>
              <w:jc w:val="both"/>
              <w:rPr/>
            </w:pPr>
            <w:r>
              <w:rPr/>
              <w:t> </w:t>
            </w:r>
          </w:p>
        </w:tc>
        <w:tc>
          <w:tcPr>
            <w:tcW w:w="4798" w:type="dxa"/>
            <w:gridSpan w:val="3"/>
            <w:tcBorders/>
            <w:vAlign w:val="center"/>
          </w:tcPr>
          <w:p>
            <w:pPr>
              <w:pStyle w:val="TableContents"/>
              <w:bidi w:val="0"/>
              <w:spacing w:before="0" w:after="283"/>
              <w:jc w:val="both"/>
              <w:rPr/>
            </w:pPr>
            <w:r>
              <w:rPr>
                <w:rFonts w:ascii="Times New Roman;Times;Serif" w:hAnsi="Times New Roman;Times;Serif"/>
              </w:rPr>
              <w:t xml:space="preserve">In </w:t>
            </w:r>
            <w:r>
              <w:rPr/>
              <w:t>the event of contribution of the Company by merger, de-merger or an exchange of shares which includes all shares in the Company (establishment of a holding company/non-cash contribution) the Company shall have the right, but not the obligation, to request that the Warrants are replaced by the right to subscribe to shares in the receiving company(ies) subject to written approval by the continuing company(ies).</w:t>
            </w:r>
          </w:p>
        </w:tc>
      </w:tr>
      <w:tr>
        <w:trPr/>
        <w:tc>
          <w:tcPr>
            <w:tcW w:w="485" w:type="dxa"/>
            <w:tcBorders/>
            <w:vAlign w:val="center"/>
          </w:tcPr>
          <w:p>
            <w:pPr>
              <w:pStyle w:val="TableContents"/>
              <w:bidi w:val="0"/>
              <w:spacing w:before="0" w:after="283"/>
              <w:jc w:val="both"/>
              <w:rPr/>
            </w:pPr>
            <w:r>
              <w:rPr/>
              <w:t>   </w:t>
            </w:r>
          </w:p>
        </w:tc>
        <w:tc>
          <w:tcPr>
            <w:tcW w:w="303" w:type="dxa"/>
            <w:tcBorders/>
            <w:vAlign w:val="center"/>
          </w:tcPr>
          <w:p>
            <w:pPr>
              <w:pStyle w:val="TableContents"/>
              <w:bidi w:val="0"/>
              <w:spacing w:before="0" w:after="283"/>
              <w:jc w:val="both"/>
              <w:rPr/>
            </w:pPr>
            <w:r>
              <w:rPr/>
              <w:t> </w:t>
            </w:r>
          </w:p>
        </w:tc>
        <w:tc>
          <w:tcPr>
            <w:tcW w:w="455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26"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pPr>
            <w:r>
              <w:rPr/>
              <w:t> </w:t>
            </w:r>
          </w:p>
        </w:tc>
        <w:tc>
          <w:tcPr>
            <w:tcW w:w="4405" w:type="dxa"/>
            <w:tcBorders/>
            <w:vAlign w:val="center"/>
          </w:tcPr>
          <w:p>
            <w:pPr>
              <w:pStyle w:val="TableContents"/>
              <w:bidi w:val="0"/>
              <w:spacing w:before="0" w:after="283"/>
              <w:jc w:val="both"/>
              <w:rPr/>
            </w:pPr>
            <w:r>
              <w:rPr/>
              <w:t> </w:t>
            </w:r>
          </w:p>
        </w:tc>
      </w:tr>
      <w:tr>
        <w:trPr/>
        <w:tc>
          <w:tcPr>
            <w:tcW w:w="4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8 </w:t>
            </w:r>
          </w:p>
        </w:tc>
        <w:tc>
          <w:tcPr>
            <w:tcW w:w="4862"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Tegning af kapitalandele</w:t>
            </w:r>
          </w:p>
        </w:tc>
        <w:tc>
          <w:tcPr>
            <w:tcW w:w="60" w:type="dxa"/>
            <w:tcBorders/>
            <w:vAlign w:val="center"/>
          </w:tcPr>
          <w:p>
            <w:pPr>
              <w:pStyle w:val="TableContents"/>
              <w:bidi w:val="0"/>
              <w:spacing w:before="0" w:after="283"/>
              <w:jc w:val="both"/>
              <w:rPr/>
            </w:pPr>
            <w:r>
              <w:rPr/>
              <w:t> </w:t>
            </w:r>
          </w:p>
        </w:tc>
        <w:tc>
          <w:tcPr>
            <w:tcW w:w="12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8</w:t>
            </w:r>
          </w:p>
        </w:tc>
        <w:tc>
          <w:tcPr>
            <w:tcW w:w="4672" w:type="dxa"/>
            <w:gridSpan w:val="2"/>
            <w:tcBorders/>
            <w:vAlign w:val="center"/>
          </w:tcPr>
          <w:p>
            <w:pPr>
              <w:pStyle w:val="TableContents"/>
              <w:bidi w:val="0"/>
              <w:spacing w:before="0" w:after="283"/>
              <w:jc w:val="both"/>
              <w:rPr/>
            </w:pPr>
            <w:r>
              <w:rPr>
                <w:b/>
              </w:rPr>
              <w:t>Subscription of Shares</w:t>
            </w:r>
            <w:r>
              <w:rPr/>
              <w:t xml:space="preserve">      </w:t>
            </w:r>
          </w:p>
        </w:tc>
      </w:tr>
      <w:tr>
        <w:trPr/>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8.1</w:t>
            </w:r>
          </w:p>
        </w:tc>
        <w:tc>
          <w:tcPr>
            <w:tcW w:w="486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Ved udnyttelse af et hvilket som helst antal Warrants gælder følgende for tegning af nye kapitalandele:</w:t>
            </w:r>
          </w:p>
        </w:tc>
        <w:tc>
          <w:tcPr>
            <w:tcW w:w="60" w:type="dxa"/>
            <w:tcBorders/>
            <w:vAlign w:val="center"/>
          </w:tcPr>
          <w:p>
            <w:pPr>
              <w:pStyle w:val="TableContents"/>
              <w:bidi w:val="0"/>
              <w:spacing w:before="0" w:after="283"/>
              <w:jc w:val="both"/>
              <w:rPr/>
            </w:pPr>
            <w:r>
              <w:rPr/>
              <w:t> </w:t>
            </w:r>
          </w:p>
        </w:tc>
        <w:tc>
          <w:tcPr>
            <w:tcW w:w="4798" w:type="dxa"/>
            <w:gridSpan w:val="3"/>
            <w:tcBorders/>
            <w:vAlign w:val="center"/>
          </w:tcPr>
          <w:p>
            <w:pPr>
              <w:pStyle w:val="TableContents"/>
              <w:bidi w:val="0"/>
              <w:spacing w:before="0" w:after="283"/>
              <w:jc w:val="both"/>
              <w:rPr/>
            </w:pPr>
            <w:r>
              <w:rPr/>
              <w:t>Upon exercise of any part of the Warrants, the following will apply for the subscription of new shares:</w:t>
            </w:r>
          </w:p>
        </w:tc>
      </w:tr>
      <w:tr>
        <w:trPr/>
        <w:tc>
          <w:tcPr>
            <w:tcW w:w="485" w:type="dxa"/>
            <w:tcBorders/>
            <w:vAlign w:val="center"/>
          </w:tcPr>
          <w:p>
            <w:pPr>
              <w:pStyle w:val="TableContents"/>
              <w:bidi w:val="0"/>
              <w:spacing w:before="0" w:after="283"/>
              <w:jc w:val="both"/>
              <w:rPr/>
            </w:pPr>
            <w:r>
              <w:rPr/>
              <w:t> </w:t>
            </w:r>
          </w:p>
        </w:tc>
        <w:tc>
          <w:tcPr>
            <w:tcW w:w="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 </w:t>
            </w:r>
          </w:p>
        </w:tc>
        <w:tc>
          <w:tcPr>
            <w:tcW w:w="45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andre kapitalejere i Selskabet har ikke fortegningsret med hensyn til Warrants eller kapitalandele udstedt gennem udnyttelse af Warrants.</w:t>
            </w:r>
          </w:p>
        </w:tc>
        <w:tc>
          <w:tcPr>
            <w:tcW w:w="60" w:type="dxa"/>
            <w:tcBorders/>
            <w:vAlign w:val="center"/>
          </w:tcPr>
          <w:p>
            <w:pPr>
              <w:pStyle w:val="TableContents"/>
              <w:bidi w:val="0"/>
              <w:spacing w:before="0" w:after="283"/>
              <w:jc w:val="both"/>
              <w:rPr/>
            </w:pPr>
            <w:r>
              <w:rPr/>
              <w:t> </w:t>
            </w:r>
          </w:p>
        </w:tc>
        <w:tc>
          <w:tcPr>
            <w:tcW w:w="126"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4405" w:type="dxa"/>
            <w:tcBorders/>
            <w:vAlign w:val="center"/>
          </w:tcPr>
          <w:p>
            <w:pPr>
              <w:pStyle w:val="TableContents"/>
              <w:bidi w:val="0"/>
              <w:spacing w:before="0" w:after="283"/>
              <w:jc w:val="both"/>
              <w:rPr/>
            </w:pPr>
            <w:r>
              <w:rPr/>
              <w:t>The other shareholders of the Company have no preemption rights with respect to the Warrants or shares issued by exercise of the Warrants.</w:t>
            </w:r>
          </w:p>
        </w:tc>
      </w:tr>
      <w:tr>
        <w:trPr/>
        <w:tc>
          <w:tcPr>
            <w:tcW w:w="485" w:type="dxa"/>
            <w:tcBorders/>
            <w:vAlign w:val="center"/>
          </w:tcPr>
          <w:p>
            <w:pPr>
              <w:pStyle w:val="TableContents"/>
              <w:bidi w:val="0"/>
              <w:spacing w:before="0" w:after="283"/>
              <w:jc w:val="both"/>
              <w:rPr/>
            </w:pPr>
            <w:r>
              <w:rPr/>
              <w:t> </w:t>
            </w:r>
          </w:p>
        </w:tc>
        <w:tc>
          <w:tcPr>
            <w:tcW w:w="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4559" w:type="dxa"/>
            <w:tcBorders/>
            <w:vAlign w:val="center"/>
          </w:tcPr>
          <w:p>
            <w:pPr>
              <w:pStyle w:val="TableContents"/>
              <w:bidi w:val="0"/>
              <w:spacing w:before="0" w:after="283"/>
              <w:jc w:val="both"/>
              <w:rPr/>
            </w:pPr>
            <w:r>
              <w:rPr/>
              <w:t>Betaling af tegningsbeløbet og tegning af kapitalandele skal finde sted samtidigt. Warrantindehaverens rettigheder som kapitalejer efter udnyttelse af samtlige Warrants eller en del heraf træder i kraft, når uigenkaldelig kontant betaling til Selskabet har fundet sted. Selskabet skal registrere Warrantindehaveren som kapitalejer i Selskabets ejerbog.</w:t>
            </w:r>
          </w:p>
        </w:tc>
        <w:tc>
          <w:tcPr>
            <w:tcW w:w="60" w:type="dxa"/>
            <w:tcBorders/>
            <w:vAlign w:val="center"/>
          </w:tcPr>
          <w:p>
            <w:pPr>
              <w:pStyle w:val="TableContents"/>
              <w:bidi w:val="0"/>
              <w:spacing w:before="0" w:after="283"/>
              <w:jc w:val="both"/>
              <w:rPr/>
            </w:pPr>
            <w:r>
              <w:rPr/>
              <w:t> </w:t>
            </w:r>
          </w:p>
        </w:tc>
        <w:tc>
          <w:tcPr>
            <w:tcW w:w="126"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4405" w:type="dxa"/>
            <w:tcBorders/>
            <w:vAlign w:val="center"/>
          </w:tcPr>
          <w:p>
            <w:pPr>
              <w:pStyle w:val="TableContents"/>
              <w:bidi w:val="0"/>
              <w:spacing w:before="0" w:after="283"/>
              <w:jc w:val="both"/>
              <w:rPr/>
            </w:pPr>
            <w:r>
              <w:rPr/>
              <w:t>Payment of the subscription amount and subscription of shares shall take place simultaneously. The Warrantee's rights as a shareholder following exercise of the Warrants or part thereof shall come into force when an irrevocable cash payment has been made to the Company. The Company shall register the Warrantee as a shareholder in the Company's share register.</w:t>
            </w:r>
          </w:p>
        </w:tc>
      </w:tr>
      <w:tr>
        <w:trPr/>
        <w:tc>
          <w:tcPr>
            <w:tcW w:w="485" w:type="dxa"/>
            <w:tcBorders/>
            <w:vAlign w:val="center"/>
          </w:tcPr>
          <w:p>
            <w:pPr>
              <w:pStyle w:val="TableContents"/>
              <w:bidi w:val="0"/>
              <w:spacing w:before="0" w:after="283"/>
              <w:jc w:val="both"/>
              <w:rPr/>
            </w:pPr>
            <w:r>
              <w:rPr/>
              <w:t> </w:t>
            </w:r>
          </w:p>
        </w:tc>
        <w:tc>
          <w:tcPr>
            <w:tcW w:w="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45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kapitalandele udstedes i kapitalandele à nominelt kr. 1 eller multipla heraf.</w:t>
            </w:r>
          </w:p>
        </w:tc>
        <w:tc>
          <w:tcPr>
            <w:tcW w:w="60" w:type="dxa"/>
            <w:tcBorders/>
            <w:vAlign w:val="center"/>
          </w:tcPr>
          <w:p>
            <w:pPr>
              <w:pStyle w:val="TableContents"/>
              <w:bidi w:val="0"/>
              <w:spacing w:before="0" w:after="283"/>
              <w:jc w:val="both"/>
              <w:rPr/>
            </w:pPr>
            <w:r>
              <w:rPr/>
              <w:t> </w:t>
            </w:r>
          </w:p>
        </w:tc>
        <w:tc>
          <w:tcPr>
            <w:tcW w:w="126"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4405" w:type="dxa"/>
            <w:tcBorders/>
            <w:vAlign w:val="center"/>
          </w:tcPr>
          <w:p>
            <w:pPr>
              <w:pStyle w:val="TableContents"/>
              <w:bidi w:val="0"/>
              <w:spacing w:before="0" w:after="283"/>
              <w:jc w:val="both"/>
              <w:rPr/>
            </w:pPr>
            <w:r>
              <w:rPr/>
              <w:t>The new shares are issued in shares of nominally DKK 1 or multiples hereof.      </w:t>
            </w:r>
          </w:p>
        </w:tc>
      </w:tr>
      <w:tr>
        <w:trPr/>
        <w:tc>
          <w:tcPr>
            <w:tcW w:w="485" w:type="dxa"/>
            <w:tcBorders/>
            <w:vAlign w:val="center"/>
          </w:tcPr>
          <w:p>
            <w:pPr>
              <w:pStyle w:val="TableContents"/>
              <w:bidi w:val="0"/>
              <w:spacing w:before="0" w:after="283"/>
              <w:jc w:val="both"/>
              <w:rPr/>
            </w:pPr>
            <w:r>
              <w:rPr/>
              <w:t> </w:t>
            </w:r>
          </w:p>
        </w:tc>
        <w:tc>
          <w:tcPr>
            <w:tcW w:w="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4559" w:type="dxa"/>
            <w:tcBorders/>
            <w:vAlign w:val="center"/>
          </w:tcPr>
          <w:p>
            <w:pPr>
              <w:pStyle w:val="TableContents"/>
              <w:bidi w:val="0"/>
              <w:spacing w:before="0" w:after="283"/>
              <w:jc w:val="both"/>
              <w:rPr/>
            </w:pPr>
            <w:r>
              <w:rPr/>
              <w:t>De nye kapitalandele skal udstedes på navn, indføres i Selskabets ejerbog og er ikke-omsættelige.</w:t>
            </w:r>
          </w:p>
        </w:tc>
        <w:tc>
          <w:tcPr>
            <w:tcW w:w="60" w:type="dxa"/>
            <w:tcBorders/>
            <w:vAlign w:val="center"/>
          </w:tcPr>
          <w:p>
            <w:pPr>
              <w:pStyle w:val="TableContents"/>
              <w:bidi w:val="0"/>
              <w:spacing w:before="0" w:after="283"/>
              <w:jc w:val="both"/>
              <w:rPr/>
            </w:pPr>
            <w:r>
              <w:rPr/>
              <w:t> </w:t>
            </w:r>
          </w:p>
        </w:tc>
        <w:tc>
          <w:tcPr>
            <w:tcW w:w="126"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4405" w:type="dxa"/>
            <w:tcBorders/>
            <w:vAlign w:val="center"/>
          </w:tcPr>
          <w:p>
            <w:pPr>
              <w:pStyle w:val="TableContents"/>
              <w:bidi w:val="0"/>
              <w:spacing w:before="0" w:after="283"/>
              <w:jc w:val="both"/>
              <w:rPr/>
            </w:pPr>
            <w:r>
              <w:rPr/>
              <w:t>The new shares are issued on name, shall be registered in the Company's share register and are non-negotiable shares.   </w:t>
            </w:r>
          </w:p>
        </w:tc>
      </w:tr>
      <w:tr>
        <w:trPr/>
        <w:tc>
          <w:tcPr>
            <w:tcW w:w="485" w:type="dxa"/>
            <w:tcBorders/>
            <w:vAlign w:val="center"/>
          </w:tcPr>
          <w:p>
            <w:pPr>
              <w:pStyle w:val="TableContents"/>
              <w:bidi w:val="0"/>
              <w:spacing w:before="0" w:after="283"/>
              <w:jc w:val="both"/>
              <w:rPr/>
            </w:pPr>
            <w:r>
              <w:rPr/>
              <w:t> </w:t>
            </w:r>
          </w:p>
        </w:tc>
        <w:tc>
          <w:tcPr>
            <w:tcW w:w="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w:t>
            </w:r>
          </w:p>
        </w:tc>
        <w:tc>
          <w:tcPr>
            <w:tcW w:w="4559" w:type="dxa"/>
            <w:tcBorders/>
            <w:vAlign w:val="center"/>
          </w:tcPr>
          <w:p>
            <w:pPr>
              <w:pStyle w:val="TableContents"/>
              <w:bidi w:val="0"/>
              <w:spacing w:before="0" w:after="283"/>
              <w:jc w:val="both"/>
              <w:rPr/>
            </w:pPr>
            <w:r>
              <w:rPr/>
              <w:t>Restriktionerne på eksisterende kapitalandele vedrørende omsættelighed gælder også for de nye kapitalandele.</w:t>
            </w:r>
          </w:p>
        </w:tc>
        <w:tc>
          <w:tcPr>
            <w:tcW w:w="60" w:type="dxa"/>
            <w:tcBorders/>
            <w:vAlign w:val="center"/>
          </w:tcPr>
          <w:p>
            <w:pPr>
              <w:pStyle w:val="TableContents"/>
              <w:bidi w:val="0"/>
              <w:spacing w:before="0" w:after="283"/>
              <w:jc w:val="both"/>
              <w:rPr/>
            </w:pPr>
            <w:r>
              <w:rPr/>
              <w:t> </w:t>
            </w:r>
          </w:p>
        </w:tc>
        <w:tc>
          <w:tcPr>
            <w:tcW w:w="126"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w:t>
            </w:r>
          </w:p>
        </w:tc>
        <w:tc>
          <w:tcPr>
            <w:tcW w:w="4405" w:type="dxa"/>
            <w:tcBorders/>
            <w:vAlign w:val="center"/>
          </w:tcPr>
          <w:p>
            <w:pPr>
              <w:pStyle w:val="TableContents"/>
              <w:bidi w:val="0"/>
              <w:spacing w:before="0" w:after="283"/>
              <w:jc w:val="both"/>
              <w:rPr/>
            </w:pPr>
            <w:r>
              <w:rPr/>
              <w:t>The restrictions on the current shares as to negotiability shall also apply for the new shares.</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35"/>
        <w:gridCol w:w="380"/>
        <w:gridCol w:w="4340"/>
        <w:gridCol w:w="60"/>
        <w:gridCol w:w="128"/>
        <w:gridCol w:w="444"/>
        <w:gridCol w:w="4518"/>
      </w:tblGrid>
      <w:tr>
        <w:trPr/>
        <w:tc>
          <w:tcPr>
            <w:tcW w:w="33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 </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Fortegningsret for nye kapitalandele i forbindelse med fremtidige kapitalforhøjelser er begrænsede for så vidt angår udstedelse af warrants eller tegning af kapitalandele gennem udnyttelse af sådanne warrants eller ved andre begivenheder i henhold til generalforsamlingens beslutning.</w:t>
            </w:r>
          </w:p>
        </w:tc>
        <w:tc>
          <w:tcPr>
            <w:tcW w:w="60" w:type="dxa"/>
            <w:tcBorders/>
            <w:vAlign w:val="center"/>
          </w:tcPr>
          <w:p>
            <w:pPr>
              <w:pStyle w:val="TableContents"/>
              <w:bidi w:val="0"/>
              <w:spacing w:before="0" w:after="283"/>
              <w:jc w:val="both"/>
              <w:rPr/>
            </w:pPr>
            <w:r>
              <w:rPr/>
              <w:t> </w:t>
            </w:r>
          </w:p>
        </w:tc>
        <w:tc>
          <w:tcPr>
            <w:tcW w:w="128"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w:t>
            </w:r>
          </w:p>
        </w:tc>
        <w:tc>
          <w:tcPr>
            <w:tcW w:w="4518" w:type="dxa"/>
            <w:tcBorders/>
            <w:vAlign w:val="center"/>
          </w:tcPr>
          <w:p>
            <w:pPr>
              <w:pStyle w:val="TableContents"/>
              <w:bidi w:val="0"/>
              <w:spacing w:before="0" w:after="283"/>
              <w:jc w:val="both"/>
              <w:rPr/>
            </w:pPr>
            <w:r>
              <w:rPr/>
              <w:t>The preemptive rights of the new shares in connection with future capital increases shall be limited in connection with the issuance of warrants or subscription of shares by exercising such warrants or other events as decided by the general meeting of the Company.      </w:t>
            </w:r>
          </w:p>
        </w:tc>
      </w:tr>
      <w:tr>
        <w:trPr/>
        <w:tc>
          <w:tcPr>
            <w:tcW w:w="33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(vii)</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kapitalandele giver ret til dividende og andre rettigheder i Selskabet til enhver tid, når den relevante kapitalforhøjelse er registreret i Erhvervsstyrelsen.</w:t>
            </w:r>
          </w:p>
        </w:tc>
        <w:tc>
          <w:tcPr>
            <w:tcW w:w="60" w:type="dxa"/>
            <w:tcBorders/>
            <w:vAlign w:val="center"/>
          </w:tcPr>
          <w:p>
            <w:pPr>
              <w:pStyle w:val="TableContents"/>
              <w:bidi w:val="0"/>
              <w:spacing w:before="0" w:after="283"/>
              <w:jc w:val="both"/>
              <w:rPr/>
            </w:pPr>
            <w:r>
              <w:rPr/>
              <w:t> </w:t>
            </w:r>
          </w:p>
        </w:tc>
        <w:tc>
          <w:tcPr>
            <w:tcW w:w="128"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(vii)</w:t>
            </w:r>
          </w:p>
        </w:tc>
        <w:tc>
          <w:tcPr>
            <w:tcW w:w="4518" w:type="dxa"/>
            <w:tcBorders/>
            <w:vAlign w:val="center"/>
          </w:tcPr>
          <w:p>
            <w:pPr>
              <w:pStyle w:val="TableContents"/>
              <w:bidi w:val="0"/>
              <w:spacing w:before="0" w:after="283"/>
              <w:jc w:val="both"/>
              <w:rPr/>
            </w:pPr>
            <w:r>
              <w:rPr/>
              <w:t>The new shares shall carry a right to dividend and other rights in the Company from the time when the relevant capital increase has been registered with the Danish Business Authority.      </w:t>
            </w:r>
          </w:p>
        </w:tc>
      </w:tr>
      <w:tr>
        <w:trPr/>
        <w:tc>
          <w:tcPr>
            <w:tcW w:w="33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(viii) </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betaler omkostningerne i forbindelse med udstedelse og udnyttelse af Warrants.</w:t>
            </w:r>
          </w:p>
        </w:tc>
        <w:tc>
          <w:tcPr>
            <w:tcW w:w="60" w:type="dxa"/>
            <w:tcBorders/>
            <w:vAlign w:val="center"/>
          </w:tcPr>
          <w:p>
            <w:pPr>
              <w:pStyle w:val="TableContents"/>
              <w:bidi w:val="0"/>
              <w:spacing w:before="0" w:after="283"/>
              <w:jc w:val="both"/>
              <w:rPr/>
            </w:pPr>
            <w:r>
              <w:rPr/>
              <w:t> </w:t>
            </w:r>
          </w:p>
        </w:tc>
        <w:tc>
          <w:tcPr>
            <w:tcW w:w="128"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 </w:t>
            </w:r>
            <w:r>
              <w:rPr>
                <w:rFonts w:ascii="Times New Roman;Times;Serif" w:hAnsi="Times New Roman;Times;Serif"/>
                <w:sz w:val="20"/>
              </w:rPr>
              <w:t>(viii)</w:t>
            </w:r>
          </w:p>
        </w:tc>
        <w:tc>
          <w:tcPr>
            <w:tcW w:w="4518" w:type="dxa"/>
            <w:tcBorders/>
            <w:vAlign w:val="center"/>
          </w:tcPr>
          <w:p>
            <w:pPr>
              <w:pStyle w:val="TableContents"/>
              <w:bidi w:val="0"/>
              <w:spacing w:before="0" w:after="283"/>
              <w:jc w:val="both"/>
              <w:rPr/>
            </w:pPr>
            <w:r>
              <w:rPr/>
              <w:t>The Company shall pay the costs in connection with the issuance and exercise of Warrants.      </w:t>
            </w:r>
          </w:p>
        </w:tc>
      </w:tr>
      <w:tr>
        <w:trPr/>
        <w:tc>
          <w:tcPr>
            <w:tcW w:w="33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28" w:type="dxa"/>
            <w:tcBorders/>
            <w:vAlign w:val="center"/>
          </w:tcPr>
          <w:p>
            <w:pPr>
              <w:pStyle w:val="TableContents"/>
              <w:bidi w:val="0"/>
              <w:spacing w:before="0" w:after="283"/>
              <w:jc w:val="both"/>
              <w:rPr/>
            </w:pPr>
            <w:r>
              <w:rPr/>
              <w:t> </w:t>
            </w:r>
          </w:p>
        </w:tc>
        <w:tc>
          <w:tcPr>
            <w:tcW w:w="444" w:type="dxa"/>
            <w:tcBorders/>
            <w:vAlign w:val="center"/>
          </w:tcPr>
          <w:p>
            <w:pPr>
              <w:pStyle w:val="TableContents"/>
              <w:bidi w:val="0"/>
              <w:spacing w:before="0" w:after="283"/>
              <w:jc w:val="both"/>
              <w:rPr/>
            </w:pPr>
            <w:r>
              <w:rPr/>
              <w:t> </w:t>
            </w:r>
          </w:p>
        </w:tc>
        <w:tc>
          <w:tcPr>
            <w:tcW w:w="4518"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9 </w:t>
            </w:r>
          </w:p>
        </w:tc>
        <w:tc>
          <w:tcPr>
            <w:tcW w:w="472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Skat</w:t>
            </w:r>
          </w:p>
        </w:tc>
        <w:tc>
          <w:tcPr>
            <w:tcW w:w="60" w:type="dxa"/>
            <w:tcBorders/>
            <w:vAlign w:val="center"/>
          </w:tcPr>
          <w:p>
            <w:pPr>
              <w:pStyle w:val="TableContents"/>
              <w:bidi w:val="0"/>
              <w:spacing w:before="0" w:after="283"/>
              <w:jc w:val="both"/>
              <w:rPr/>
            </w:pPr>
            <w:r>
              <w:rPr/>
              <w:t> </w:t>
            </w:r>
          </w:p>
        </w:tc>
        <w:tc>
          <w:tcPr>
            <w:tcW w:w="12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w:t>
            </w:r>
          </w:p>
        </w:tc>
        <w:tc>
          <w:tcPr>
            <w:tcW w:w="4962" w:type="dxa"/>
            <w:gridSpan w:val="2"/>
            <w:tcBorders/>
            <w:vAlign w:val="center"/>
          </w:tcPr>
          <w:p>
            <w:pPr>
              <w:pStyle w:val="TableContents"/>
              <w:bidi w:val="0"/>
              <w:spacing w:before="0" w:after="283"/>
              <w:jc w:val="both"/>
              <w:rPr>
                <w:b/>
              </w:rPr>
            </w:pPr>
            <w:r>
              <w:rPr>
                <w:b/>
              </w:rPr>
              <w:t>Tax      </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9.1</w:t>
            </w:r>
          </w:p>
        </w:tc>
        <w:tc>
          <w:tcPr>
            <w:tcW w:w="472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Punkterne 9.2 - 9.4 finder anvendelse, hvis Warrantindehaveren er ansat i Selskabet:</w:t>
            </w:r>
          </w:p>
        </w:tc>
        <w:tc>
          <w:tcPr>
            <w:tcW w:w="60" w:type="dxa"/>
            <w:tcBorders/>
            <w:vAlign w:val="center"/>
          </w:tcPr>
          <w:p>
            <w:pPr>
              <w:pStyle w:val="TableContents"/>
              <w:bidi w:val="0"/>
              <w:spacing w:before="0" w:after="283"/>
              <w:jc w:val="both"/>
              <w:rPr/>
            </w:pPr>
            <w:r>
              <w:rPr/>
              <w:t> </w:t>
            </w:r>
          </w:p>
        </w:tc>
        <w:tc>
          <w:tcPr>
            <w:tcW w:w="5090" w:type="dxa"/>
            <w:gridSpan w:val="3"/>
            <w:tcBorders/>
            <w:vAlign w:val="center"/>
          </w:tcPr>
          <w:p>
            <w:pPr>
              <w:pStyle w:val="TableContents"/>
              <w:bidi w:val="0"/>
              <w:spacing w:before="0" w:after="283"/>
              <w:jc w:val="both"/>
              <w:rPr/>
            </w:pPr>
            <w:r>
              <w:rPr/>
              <w:t>Clauses 9.2 - 9.4 shall apply provided the Warrantee is an employee of the Company:      </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9.2</w:t>
            </w:r>
          </w:p>
        </w:tc>
        <w:tc>
          <w:tcPr>
            <w:tcW w:w="4720" w:type="dxa"/>
            <w:gridSpan w:val="2"/>
            <w:tcBorders/>
            <w:vAlign w:val="center"/>
          </w:tcPr>
          <w:p>
            <w:pPr>
              <w:pStyle w:val="TableContents"/>
              <w:bidi w:val="0"/>
              <w:spacing w:before="0" w:after="283"/>
              <w:jc w:val="both"/>
              <w:rPr/>
            </w:pPr>
            <w:r>
              <w:rPr/>
              <w:t> </w:t>
            </w:r>
            <w:r>
              <w:rPr>
                <w:rFonts w:ascii="Times New Roman;Times;Serif" w:hAnsi="Times New Roman;Times;Serif"/>
                <w:sz w:val="20"/>
              </w:rPr>
              <w:t>Warrants er underlagt ligningslovens § 7 P.</w:t>
            </w:r>
          </w:p>
        </w:tc>
        <w:tc>
          <w:tcPr>
            <w:tcW w:w="60" w:type="dxa"/>
            <w:tcBorders/>
            <w:vAlign w:val="center"/>
          </w:tcPr>
          <w:p>
            <w:pPr>
              <w:pStyle w:val="TableContents"/>
              <w:bidi w:val="0"/>
              <w:spacing w:before="0" w:after="283"/>
              <w:jc w:val="both"/>
              <w:rPr/>
            </w:pPr>
            <w:r>
              <w:rPr/>
              <w:t> </w:t>
            </w:r>
          </w:p>
        </w:tc>
        <w:tc>
          <w:tcPr>
            <w:tcW w:w="5090" w:type="dxa"/>
            <w:gridSpan w:val="3"/>
            <w:tcBorders/>
            <w:vAlign w:val="center"/>
          </w:tcPr>
          <w:p>
            <w:pPr>
              <w:pStyle w:val="TableContents"/>
              <w:bidi w:val="0"/>
              <w:spacing w:before="0" w:after="283"/>
              <w:jc w:val="both"/>
              <w:rPr/>
            </w:pPr>
            <w:r>
              <w:rPr/>
              <w:t>The Warrants shall be subject to Section 7 P of the Danish Tax Assessment Act.   </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9.3</w:t>
            </w:r>
          </w:p>
        </w:tc>
        <w:tc>
          <w:tcPr>
            <w:tcW w:w="4720" w:type="dxa"/>
            <w:gridSpan w:val="2"/>
            <w:tcBorders/>
            <w:vAlign w:val="center"/>
          </w:tcPr>
          <w:p>
            <w:pPr>
              <w:pStyle w:val="TableContents"/>
              <w:bidi w:val="0"/>
              <w:spacing w:before="0" w:after="283"/>
              <w:jc w:val="both"/>
              <w:rPr/>
            </w:pPr>
            <w:r>
              <w:rPr/>
              <w:t>Selskabet har vurderet værdien af de tildelte warrants til DKK 1074,72 pr. styk (før udstedelse af fondsaktier og aktiesplit den 4. januar 2021).</w:t>
            </w:r>
          </w:p>
        </w:tc>
        <w:tc>
          <w:tcPr>
            <w:tcW w:w="60" w:type="dxa"/>
            <w:tcBorders/>
            <w:vAlign w:val="center"/>
          </w:tcPr>
          <w:p>
            <w:pPr>
              <w:pStyle w:val="TableContents"/>
              <w:bidi w:val="0"/>
              <w:spacing w:before="0" w:after="283"/>
              <w:jc w:val="both"/>
              <w:rPr/>
            </w:pPr>
            <w:r>
              <w:rPr/>
              <w:t> </w:t>
            </w:r>
          </w:p>
        </w:tc>
        <w:tc>
          <w:tcPr>
            <w:tcW w:w="5090" w:type="dxa"/>
            <w:gridSpan w:val="3"/>
            <w:tcBorders/>
            <w:vAlign w:val="center"/>
          </w:tcPr>
          <w:p>
            <w:pPr>
              <w:pStyle w:val="TableContents"/>
              <w:bidi w:val="0"/>
              <w:spacing w:before="0" w:after="283"/>
              <w:jc w:val="both"/>
              <w:rPr/>
            </w:pPr>
            <w:r>
              <w:rPr/>
              <w:t>The Company has assessed the value of each granted warrants at DKK 1074.72 (before issuance of bonus shares and share split on 4 January 2021).</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9.4 </w:t>
            </w:r>
          </w:p>
        </w:tc>
        <w:tc>
          <w:tcPr>
            <w:tcW w:w="4720" w:type="dxa"/>
            <w:gridSpan w:val="2"/>
            <w:tcBorders/>
            <w:vAlign w:val="center"/>
          </w:tcPr>
          <w:p>
            <w:pPr>
              <w:pStyle w:val="TableContents"/>
              <w:bidi w:val="0"/>
              <w:spacing w:before="0" w:after="283"/>
              <w:jc w:val="both"/>
              <w:rPr/>
            </w:pPr>
            <w:r>
              <w:rPr/>
              <w:t>Selskabet giver ikke Warrantindehaveren nogen garanti for, at Warrants beskattes efter ligningslovens § 7 P med eventuelle senere ændringer, herunder om kravene til anvendelse af bestemmelsen ikke er opfyldt, eller om bestemmelsen fremover er ændret eller ophævet.</w:t>
            </w:r>
          </w:p>
        </w:tc>
        <w:tc>
          <w:tcPr>
            <w:tcW w:w="60" w:type="dxa"/>
            <w:tcBorders/>
            <w:vAlign w:val="center"/>
          </w:tcPr>
          <w:p>
            <w:pPr>
              <w:pStyle w:val="TableContents"/>
              <w:bidi w:val="0"/>
              <w:spacing w:before="0" w:after="283"/>
              <w:jc w:val="both"/>
              <w:rPr/>
            </w:pPr>
            <w:r>
              <w:rPr/>
              <w:t> </w:t>
            </w:r>
          </w:p>
        </w:tc>
        <w:tc>
          <w:tcPr>
            <w:tcW w:w="5090" w:type="dxa"/>
            <w:gridSpan w:val="3"/>
            <w:tcBorders/>
            <w:vAlign w:val="center"/>
          </w:tcPr>
          <w:p>
            <w:pPr>
              <w:pStyle w:val="TableContents"/>
              <w:bidi w:val="0"/>
              <w:spacing w:before="0" w:after="283"/>
              <w:jc w:val="both"/>
              <w:rPr/>
            </w:pPr>
            <w:r>
              <w:rPr/>
              <w:t>The Company does not make any guarantees to the Warrantee that the Warrantee will be subject to the tax treatment under Section 7 P of the Danish Tax Assessment Act, as amended from time to time, including whether the requirements for the application of the provision are not met or if the provision is altered or repealed in the future.</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95"/>
        <w:gridCol w:w="4970"/>
        <w:gridCol w:w="60"/>
        <w:gridCol w:w="487"/>
        <w:gridCol w:w="4293"/>
      </w:tblGrid>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9.5 </w:t>
            </w:r>
          </w:p>
        </w:tc>
        <w:tc>
          <w:tcPr>
            <w:tcW w:w="4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skattemæssige konsekvenser for Warrantindehaveren i forbindelse med denne Aftale, herunder men ikke begrænset til erhvervelse og/eller tildeling af Warrants, og/eller skattemæssige konsekvenser i forbindelse med udnyttelse af Warrants, er Selskabet uvedkommende. Warrantindehaveren opfordres til at søge skattemæssig rådgivning i forbindelse med indgåelsen af denne Aftale.</w:t>
            </w:r>
          </w:p>
        </w:tc>
        <w:tc>
          <w:tcPr>
            <w:tcW w:w="60" w:type="dxa"/>
            <w:tcBorders/>
            <w:vAlign w:val="center"/>
          </w:tcPr>
          <w:p>
            <w:pPr>
              <w:pStyle w:val="TableContents"/>
              <w:bidi w:val="0"/>
              <w:spacing w:before="0" w:after="283"/>
              <w:jc w:val="both"/>
              <w:rPr/>
            </w:pPr>
            <w:r>
              <w:rPr/>
              <w:t> </w:t>
            </w:r>
          </w:p>
        </w:tc>
        <w:tc>
          <w:tcPr>
            <w:tcW w:w="4780" w:type="dxa"/>
            <w:gridSpan w:val="2"/>
            <w:tcBorders/>
            <w:vAlign w:val="center"/>
          </w:tcPr>
          <w:p>
            <w:pPr>
              <w:pStyle w:val="TableContents"/>
              <w:bidi w:val="0"/>
              <w:spacing w:before="0" w:after="283"/>
              <w:jc w:val="both"/>
              <w:rPr/>
            </w:pPr>
            <w:r>
              <w:rPr/>
              <w:t>The tax consequences for the Warrantee arising in connection with or out of this Agreement, including but not limited to the acquisition and/or granting of the Warrants and/or the tax consequences in connection with the exercise of the Warrants, are of no concern to the Company. The Warrantee is strongly encouraged to seek tax advice in connection with entering into this Agreement.      </w:t>
            </w:r>
          </w:p>
        </w:tc>
      </w:tr>
      <w:tr>
        <w:trPr/>
        <w:tc>
          <w:tcPr>
            <w:tcW w:w="3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w:t>
            </w:r>
          </w:p>
        </w:tc>
        <w:tc>
          <w:tcPr>
            <w:tcW w:w="49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Ejeraftale</w:t>
            </w:r>
          </w:p>
        </w:tc>
        <w:tc>
          <w:tcPr>
            <w:tcW w:w="60" w:type="dxa"/>
            <w:tcBorders/>
            <w:vAlign w:val="center"/>
          </w:tcPr>
          <w:p>
            <w:pPr>
              <w:pStyle w:val="TableContents"/>
              <w:bidi w:val="0"/>
              <w:spacing w:before="0" w:after="283"/>
              <w:jc w:val="both"/>
              <w:rPr/>
            </w:pPr>
            <w:r>
              <w:rPr/>
              <w:t> </w:t>
            </w:r>
          </w:p>
        </w:tc>
        <w:tc>
          <w:tcPr>
            <w:tcW w:w="48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w:t>
            </w:r>
          </w:p>
        </w:tc>
        <w:tc>
          <w:tcPr>
            <w:tcW w:w="4293" w:type="dxa"/>
            <w:tcBorders/>
            <w:vAlign w:val="center"/>
          </w:tcPr>
          <w:p>
            <w:pPr>
              <w:pStyle w:val="TableContents"/>
              <w:bidi w:val="0"/>
              <w:spacing w:before="0" w:after="283"/>
              <w:jc w:val="both"/>
              <w:rPr>
                <w:b/>
              </w:rPr>
            </w:pPr>
            <w:r>
              <w:rPr>
                <w:b/>
              </w:rPr>
              <w:t>Shareholders' Agreement      </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4970" w:type="dxa"/>
            <w:tcBorders/>
            <w:vAlign w:val="center"/>
          </w:tcPr>
          <w:p>
            <w:pPr>
              <w:pStyle w:val="TableContents"/>
              <w:bidi w:val="0"/>
              <w:spacing w:before="0" w:after="283"/>
              <w:jc w:val="both"/>
              <w:rPr/>
            </w:pPr>
            <w:r>
              <w:rPr/>
              <w:t>Warrantindehaveren skal på tidspunktet for udnyttelse af Warrants tildelt i henhold til denne Aftale tiltræde og acceptere at være bundet af enhver ejeraftale, der gælder for kapitalejere i Selskabet til enhver tid ved at underskrive en tiltrædelseserklæring til en sådan ejeraftale. Warrantindehaveren tiltræder og accepterer, at en sådan ejeraftale kan indeholde betingelser, der alene gælder for Warrantindehaveren og ikke for de andre kapitalejere i Selskabet. Således har ikke alle kapitalejere i Selskabet de samme rettigheder i henhold til ejeraftalen. En sådan tiltrædelseserklæring skal underskrives senest på tidspunktet for udnyttelse af Warrants, og udnyttelsen af Warrants skal være betinget heraf.</w:t>
            </w:r>
          </w:p>
        </w:tc>
        <w:tc>
          <w:tcPr>
            <w:tcW w:w="60" w:type="dxa"/>
            <w:tcBorders/>
            <w:vAlign w:val="center"/>
          </w:tcPr>
          <w:p>
            <w:pPr>
              <w:pStyle w:val="TableContents"/>
              <w:bidi w:val="0"/>
              <w:spacing w:before="0" w:after="283"/>
              <w:jc w:val="both"/>
              <w:rPr/>
            </w:pPr>
            <w:r>
              <w:rPr/>
              <w:t> </w:t>
            </w:r>
          </w:p>
        </w:tc>
        <w:tc>
          <w:tcPr>
            <w:tcW w:w="4780" w:type="dxa"/>
            <w:gridSpan w:val="2"/>
            <w:tcBorders/>
            <w:vAlign w:val="center"/>
          </w:tcPr>
          <w:p>
            <w:pPr>
              <w:pStyle w:val="TableContents"/>
              <w:bidi w:val="0"/>
              <w:spacing w:before="0" w:after="283"/>
              <w:jc w:val="both"/>
              <w:rPr/>
            </w:pPr>
            <w:r>
              <w:rPr/>
              <w:t>The Warrantee shall at the time of exercise of the Warrants granted hereunder endorse and agree to be bound by any Shareholders' Agreement applicable to the shareholders of the Company from time to time by signing a deed of adherence to such Shareholders' Agreement. The Warrantee acknowledges and accepts that such Shareholders' Agreement may include terms only applicable on the Warrantee and not on the other shareholders of the Company. Thus, not all shareholders of the Company may have the same rights under the Shareholders Agreement. Such deed of adherence shall be signed no later than at the time of the exercise of the Warrants and the exercise of any Warrants shall be conditional hereupon.</w:t>
            </w:r>
          </w:p>
        </w:tc>
      </w:tr>
      <w:tr>
        <w:trPr/>
        <w:tc>
          <w:tcPr>
            <w:tcW w:w="3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11 </w:t>
            </w:r>
          </w:p>
        </w:tc>
        <w:tc>
          <w:tcPr>
            <w:tcW w:w="49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Overdragelse af Warrants</w:t>
            </w:r>
          </w:p>
        </w:tc>
        <w:tc>
          <w:tcPr>
            <w:tcW w:w="60" w:type="dxa"/>
            <w:tcBorders/>
            <w:vAlign w:val="center"/>
          </w:tcPr>
          <w:p>
            <w:pPr>
              <w:pStyle w:val="TableContents"/>
              <w:bidi w:val="0"/>
              <w:spacing w:before="0" w:after="283"/>
              <w:jc w:val="both"/>
              <w:rPr/>
            </w:pPr>
            <w:r>
              <w:rPr/>
              <w:t> </w:t>
            </w:r>
          </w:p>
        </w:tc>
        <w:tc>
          <w:tcPr>
            <w:tcW w:w="48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11 </w:t>
            </w:r>
          </w:p>
        </w:tc>
        <w:tc>
          <w:tcPr>
            <w:tcW w:w="4293" w:type="dxa"/>
            <w:tcBorders/>
            <w:vAlign w:val="center"/>
          </w:tcPr>
          <w:p>
            <w:pPr>
              <w:pStyle w:val="TableContents"/>
              <w:bidi w:val="0"/>
              <w:spacing w:before="0" w:after="283"/>
              <w:jc w:val="both"/>
              <w:rPr>
                <w:b/>
              </w:rPr>
            </w:pPr>
            <w:r>
              <w:rPr>
                <w:b/>
              </w:rPr>
              <w:t>Assignment of Warrants      </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11.1</w:t>
            </w:r>
          </w:p>
        </w:tc>
        <w:tc>
          <w:tcPr>
            <w:tcW w:w="4970" w:type="dxa"/>
            <w:tcBorders/>
            <w:vAlign w:val="center"/>
          </w:tcPr>
          <w:p>
            <w:pPr>
              <w:pStyle w:val="TableContents"/>
              <w:bidi w:val="0"/>
              <w:spacing w:before="0" w:after="283"/>
              <w:jc w:val="both"/>
              <w:rPr/>
            </w:pPr>
            <w:r>
              <w:rPr/>
              <w:t>Warrants og andre rettigheder og/eller forpligtelser af Warrantindehaveren i henhold til denne Aftale må ikke være genstand for udlæg (pant, sikkerhed eller lignende), erhverves eller på anden måde overdrages af Warrantindehaveren.</w:t>
            </w:r>
          </w:p>
        </w:tc>
        <w:tc>
          <w:tcPr>
            <w:tcW w:w="60" w:type="dxa"/>
            <w:tcBorders/>
            <w:vAlign w:val="center"/>
          </w:tcPr>
          <w:p>
            <w:pPr>
              <w:pStyle w:val="TableContents"/>
              <w:bidi w:val="0"/>
              <w:spacing w:before="0" w:after="283"/>
              <w:jc w:val="both"/>
              <w:rPr/>
            </w:pPr>
            <w:r>
              <w:rPr/>
              <w:t> </w:t>
            </w:r>
          </w:p>
        </w:tc>
        <w:tc>
          <w:tcPr>
            <w:tcW w:w="4780" w:type="dxa"/>
            <w:gridSpan w:val="2"/>
            <w:tcBorders/>
            <w:vAlign w:val="center"/>
          </w:tcPr>
          <w:p>
            <w:pPr>
              <w:pStyle w:val="TableContents"/>
              <w:bidi w:val="0"/>
              <w:spacing w:before="0" w:after="283"/>
              <w:jc w:val="both"/>
              <w:rPr/>
            </w:pPr>
            <w:r>
              <w:rPr/>
              <w:t>The Warrants and any other rights and/or obligations granted to the Warrantee under this Agreement cannot be subject to any encumbrance (as pledge, security or similar), assignment or in any other way be transferred by the Warrantee.</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440"/>
        <w:gridCol w:w="5443"/>
        <w:gridCol w:w="60"/>
        <w:gridCol w:w="1074"/>
        <w:gridCol w:w="3188"/>
      </w:tblGrid>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w:t>
            </w:r>
          </w:p>
        </w:tc>
        <w:tc>
          <w:tcPr>
            <w:tcW w:w="54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Uanset det anførte under punkt 11.1 kan overdragelse i tilfælde af Warrantindehaverens død finde sted til Warrantindehaverens bo og/eller hans/hendes arvinger.</w:t>
            </w:r>
          </w:p>
        </w:tc>
        <w:tc>
          <w:tcPr>
            <w:tcW w:w="60" w:type="dxa"/>
            <w:tcBorders/>
            <w:vAlign w:val="center"/>
          </w:tcPr>
          <w:p>
            <w:pPr>
              <w:pStyle w:val="TableContents"/>
              <w:bidi w:val="0"/>
              <w:spacing w:before="0" w:after="283"/>
              <w:jc w:val="both"/>
              <w:rPr/>
            </w:pPr>
            <w:r>
              <w:rPr/>
              <w:t> </w:t>
            </w:r>
          </w:p>
        </w:tc>
        <w:tc>
          <w:tcPr>
            <w:tcW w:w="4262" w:type="dxa"/>
            <w:gridSpan w:val="2"/>
            <w:tcBorders/>
            <w:vAlign w:val="center"/>
          </w:tcPr>
          <w:p>
            <w:pPr>
              <w:pStyle w:val="TableContents"/>
              <w:bidi w:val="0"/>
              <w:spacing w:before="0" w:after="283"/>
              <w:jc w:val="both"/>
              <w:rPr/>
            </w:pPr>
            <w:r>
              <w:rPr/>
              <w:t>Notwithstanding Clause 11.1, assignment to the estate left by the Warrantee and/or to his/her heir/heiress in the event of death shall be allowed.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11.3 </w:t>
            </w:r>
          </w:p>
        </w:tc>
        <w:tc>
          <w:tcPr>
            <w:tcW w:w="5443" w:type="dxa"/>
            <w:tcBorders/>
            <w:vAlign w:val="center"/>
          </w:tcPr>
          <w:p>
            <w:pPr>
              <w:pStyle w:val="TableContents"/>
              <w:bidi w:val="0"/>
              <w:spacing w:before="0" w:after="283"/>
              <w:jc w:val="both"/>
              <w:rPr/>
            </w:pPr>
            <w:r>
              <w:rPr/>
              <w:t>Uanset det anførte under punkt 11.1 må Warrantindehaverens kapitalandele henholdsvis Warrants, herunder kapitalandele erhvervet gennem udnyttelse af Warrants, ikke være genstand for inkasso- procedurer, fogedforretninger eller anden form for fuldbyrdelse og må heller ikke bruges som pant over for tredjepart. Warrantindehaveren har dog ved forudgående skriftlig tilladelse fra Selskabets Bestyrelse ret til at bruge kapitalandele og warrants som pant i forbindelse med finansiering af køb af sådanne kapitalandele og warrants, hvis panthaver forud for pantsætningen skriftligt bekræfter at ville respektere denne Aftale.</w:t>
            </w:r>
          </w:p>
        </w:tc>
        <w:tc>
          <w:tcPr>
            <w:tcW w:w="60" w:type="dxa"/>
            <w:tcBorders/>
            <w:vAlign w:val="center"/>
          </w:tcPr>
          <w:p>
            <w:pPr>
              <w:pStyle w:val="TableContents"/>
              <w:bidi w:val="0"/>
              <w:spacing w:before="0" w:after="283"/>
              <w:jc w:val="both"/>
              <w:rPr/>
            </w:pPr>
            <w:r>
              <w:rPr/>
              <w:t> </w:t>
            </w:r>
          </w:p>
        </w:tc>
        <w:tc>
          <w:tcPr>
            <w:tcW w:w="4262" w:type="dxa"/>
            <w:gridSpan w:val="2"/>
            <w:tcBorders/>
            <w:vAlign w:val="center"/>
          </w:tcPr>
          <w:p>
            <w:pPr>
              <w:pStyle w:val="TableContents"/>
              <w:bidi w:val="0"/>
              <w:spacing w:before="0" w:after="283"/>
              <w:jc w:val="both"/>
              <w:rPr/>
            </w:pPr>
            <w:r>
              <w:rPr/>
              <w:t>Notwithstanding Clause 11.1, the Warrantee's shares and Warrants (as applicable), including shares acquired by the exercise of Warrants, are not to be subjected to debt collection proceedings, creditor enforcement or any other type of enforcement, nor are they to be pledged to any third party. However, subject to prior written approval from the board of the Company the Warrantee shall be entitled to pledge shares and warrants in connection with the funding of the purchase of such shares and warrants if the pledgee prior to the pledge accepts in writing to respect this Agreement.</w:t>
            </w:r>
          </w:p>
        </w:tc>
      </w:tr>
      <w:tr>
        <w:trPr/>
        <w:tc>
          <w:tcPr>
            <w:tcW w:w="4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12</w:t>
            </w:r>
          </w:p>
        </w:tc>
        <w:tc>
          <w:tcPr>
            <w:tcW w:w="544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Afkald</w:t>
            </w:r>
          </w:p>
        </w:tc>
        <w:tc>
          <w:tcPr>
            <w:tcW w:w="60" w:type="dxa"/>
            <w:tcBorders/>
            <w:vAlign w:val="center"/>
          </w:tcPr>
          <w:p>
            <w:pPr>
              <w:pStyle w:val="TableContents"/>
              <w:bidi w:val="0"/>
              <w:spacing w:before="0" w:after="283"/>
              <w:jc w:val="both"/>
              <w:rPr/>
            </w:pPr>
            <w:r>
              <w:rPr/>
              <w:t> </w:t>
            </w:r>
          </w:p>
        </w:tc>
        <w:tc>
          <w:tcPr>
            <w:tcW w:w="107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12</w:t>
            </w:r>
          </w:p>
        </w:tc>
        <w:tc>
          <w:tcPr>
            <w:tcW w:w="318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Waiver</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12.1 </w:t>
            </w:r>
          </w:p>
        </w:tc>
        <w:tc>
          <w:tcPr>
            <w:tcW w:w="5443" w:type="dxa"/>
            <w:tcBorders/>
            <w:vAlign w:val="center"/>
          </w:tcPr>
          <w:p>
            <w:pPr>
              <w:pStyle w:val="TableContents"/>
              <w:bidi w:val="0"/>
              <w:spacing w:before="0" w:after="283"/>
              <w:jc w:val="both"/>
              <w:rPr/>
            </w:pPr>
            <w:r>
              <w:rPr/>
              <w:t>Warrantindehaveren garanterer ikke at ville påberåbe sig eller på anden måde benytte sig af minoritetsbeskyttelsesreglen i henhold Selskabsloven, herunder § 73, ifølge hvilken en minoritetskapital- ejer kan fordre sine kapitalandele indløst af en kapitalejer, der ejer mere end ni tiendedele af kapitalandelene (indløsningsret).</w:t>
            </w:r>
          </w:p>
        </w:tc>
        <w:tc>
          <w:tcPr>
            <w:tcW w:w="60" w:type="dxa"/>
            <w:tcBorders/>
            <w:vAlign w:val="center"/>
          </w:tcPr>
          <w:p>
            <w:pPr>
              <w:pStyle w:val="TableContents"/>
              <w:bidi w:val="0"/>
              <w:spacing w:before="0" w:after="283"/>
              <w:jc w:val="both"/>
              <w:rPr/>
            </w:pPr>
            <w:r>
              <w:rPr/>
              <w:t> </w:t>
            </w:r>
          </w:p>
        </w:tc>
        <w:tc>
          <w:tcPr>
            <w:tcW w:w="4262" w:type="dxa"/>
            <w:gridSpan w:val="2"/>
            <w:tcBorders/>
            <w:vAlign w:val="center"/>
          </w:tcPr>
          <w:p>
            <w:pPr>
              <w:pStyle w:val="TableContents"/>
              <w:bidi w:val="0"/>
              <w:spacing w:before="0" w:after="283"/>
              <w:jc w:val="both"/>
              <w:rPr/>
            </w:pPr>
            <w:r>
              <w:rPr/>
              <w:t>The Warrantee undertakes not to invoke or otherwise rely upon the minority protection rule available under the Danish Companies Act, including Clause 73, stipulating the right to require a shareholder holding more than nineteenths of the shares to acquire the shares of any minority shareholder (in Danish: "indløsningsret").</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440"/>
        <w:gridCol w:w="5083"/>
        <w:gridCol w:w="60"/>
        <w:gridCol w:w="692"/>
        <w:gridCol w:w="3930"/>
      </w:tblGrid>
      <w:tr>
        <w:trPr/>
        <w:tc>
          <w:tcPr>
            <w:tcW w:w="4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13 </w:t>
            </w:r>
          </w:p>
        </w:tc>
        <w:tc>
          <w:tcPr>
            <w:tcW w:w="508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Pantsætning af kapitalandele</w:t>
            </w:r>
          </w:p>
        </w:tc>
        <w:tc>
          <w:tcPr>
            <w:tcW w:w="60" w:type="dxa"/>
            <w:tcBorders/>
            <w:vAlign w:val="center"/>
          </w:tcPr>
          <w:p>
            <w:pPr>
              <w:pStyle w:val="TableContents"/>
              <w:bidi w:val="0"/>
              <w:spacing w:before="0" w:after="283"/>
              <w:jc w:val="both"/>
              <w:rPr/>
            </w:pPr>
            <w:r>
              <w:rPr/>
              <w:t> </w:t>
            </w:r>
          </w:p>
        </w:tc>
        <w:tc>
          <w:tcPr>
            <w:tcW w:w="69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13</w:t>
            </w:r>
          </w:p>
        </w:tc>
        <w:tc>
          <w:tcPr>
            <w:tcW w:w="3930" w:type="dxa"/>
            <w:tcBorders/>
            <w:vAlign w:val="center"/>
          </w:tcPr>
          <w:p>
            <w:pPr>
              <w:pStyle w:val="TableContents"/>
              <w:bidi w:val="0"/>
              <w:spacing w:before="0" w:after="283"/>
              <w:jc w:val="both"/>
              <w:rPr>
                <w:b/>
              </w:rPr>
            </w:pPr>
            <w:r>
              <w:rPr>
                <w:b/>
              </w:rPr>
              <w:t>Pledge of Shares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13.1 </w:t>
            </w:r>
          </w:p>
        </w:tc>
        <w:tc>
          <w:tcPr>
            <w:tcW w:w="5083" w:type="dxa"/>
            <w:tcBorders/>
            <w:vAlign w:val="center"/>
          </w:tcPr>
          <w:p>
            <w:pPr>
              <w:pStyle w:val="TableContents"/>
              <w:bidi w:val="0"/>
              <w:spacing w:before="0" w:after="283"/>
              <w:jc w:val="both"/>
              <w:rPr/>
            </w:pPr>
            <w:r>
              <w:rPr/>
              <w:t>Warrantindehaveren forpligter sig herved at pantsætte kapitalandele i Selskabet tegnet gennem udnyttelse af Warrants (herunder eventuelle stemmerettigheder) til de andre kapitalejere i Selskabet som sikkerhed for (i) opfyldelse af Warrantindehaverens forpligtelser i henhold til Aftalen og (ii) opfyldelse af Warrantindehaverens forpligtelser i henhold til ejeraftale, der er gældende for Warrantindehaverens kapitalandele i Selskabet.</w:t>
            </w:r>
          </w:p>
        </w:tc>
        <w:tc>
          <w:tcPr>
            <w:tcW w:w="60" w:type="dxa"/>
            <w:tcBorders/>
            <w:vAlign w:val="center"/>
          </w:tcPr>
          <w:p>
            <w:pPr>
              <w:pStyle w:val="TableContents"/>
              <w:bidi w:val="0"/>
              <w:spacing w:before="0" w:after="283"/>
              <w:jc w:val="both"/>
              <w:rPr/>
            </w:pPr>
            <w:r>
              <w:rPr/>
              <w:t> </w:t>
            </w:r>
          </w:p>
        </w:tc>
        <w:tc>
          <w:tcPr>
            <w:tcW w:w="4622" w:type="dxa"/>
            <w:gridSpan w:val="2"/>
            <w:tcBorders/>
            <w:vAlign w:val="center"/>
          </w:tcPr>
          <w:p>
            <w:pPr>
              <w:pStyle w:val="TableContents"/>
              <w:bidi w:val="0"/>
              <w:spacing w:before="0" w:after="283"/>
              <w:jc w:val="both"/>
              <w:rPr/>
            </w:pPr>
            <w:r>
              <w:rPr/>
              <w:t>The Warrantee hereby undertakes to pledge any shares in the Company subscribed for by exercise of any Warrants (including voting rights (if any)) to the other shareholders of the Company as security for (i) the fulfilment of the Warrantee's obligations under this Agreement and (ii) the fulfilment of the Warrantee's obligations under any Shareholders' Agreement governing the shares in the Company held by the Warrantee.</w:t>
            </w:r>
          </w:p>
        </w:tc>
      </w:tr>
      <w:tr>
        <w:trPr/>
        <w:tc>
          <w:tcPr>
            <w:tcW w:w="440" w:type="dxa"/>
            <w:tcBorders/>
            <w:vAlign w:val="center"/>
          </w:tcPr>
          <w:p>
            <w:pPr>
              <w:pStyle w:val="TableContents"/>
              <w:bidi w:val="0"/>
              <w:spacing w:before="0" w:after="283"/>
              <w:jc w:val="both"/>
              <w:rPr>
                <w:b/>
              </w:rPr>
            </w:pPr>
            <w:r>
              <w:rPr>
                <w:b/>
              </w:rPr>
              <w:t>14  </w:t>
            </w:r>
          </w:p>
        </w:tc>
        <w:tc>
          <w:tcPr>
            <w:tcW w:w="508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Fuldmagt</w:t>
            </w:r>
          </w:p>
        </w:tc>
        <w:tc>
          <w:tcPr>
            <w:tcW w:w="60" w:type="dxa"/>
            <w:tcBorders/>
            <w:vAlign w:val="center"/>
          </w:tcPr>
          <w:p>
            <w:pPr>
              <w:pStyle w:val="TableContents"/>
              <w:bidi w:val="0"/>
              <w:spacing w:before="0" w:after="283"/>
              <w:jc w:val="both"/>
              <w:rPr/>
            </w:pPr>
            <w:r>
              <w:rPr/>
              <w:t> </w:t>
            </w:r>
          </w:p>
        </w:tc>
        <w:tc>
          <w:tcPr>
            <w:tcW w:w="69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14 </w:t>
            </w:r>
          </w:p>
        </w:tc>
        <w:tc>
          <w:tcPr>
            <w:tcW w:w="3930" w:type="dxa"/>
            <w:tcBorders/>
            <w:vAlign w:val="center"/>
          </w:tcPr>
          <w:p>
            <w:pPr>
              <w:pStyle w:val="TableContents"/>
              <w:bidi w:val="0"/>
              <w:spacing w:before="0" w:after="283"/>
              <w:jc w:val="both"/>
              <w:rPr>
                <w:b/>
              </w:rPr>
            </w:pPr>
            <w:r>
              <w:rPr>
                <w:b/>
              </w:rPr>
              <w:t>Power of Attorney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14.1</w:t>
            </w:r>
          </w:p>
        </w:tc>
        <w:tc>
          <w:tcPr>
            <w:tcW w:w="5083" w:type="dxa"/>
            <w:tcBorders/>
            <w:vAlign w:val="center"/>
          </w:tcPr>
          <w:p>
            <w:pPr>
              <w:pStyle w:val="TableContents"/>
              <w:bidi w:val="0"/>
              <w:spacing w:before="0" w:after="283"/>
              <w:jc w:val="both"/>
              <w:rPr/>
            </w:pPr>
            <w:r>
              <w:rPr/>
              <w:t> </w:t>
            </w:r>
            <w:r>
              <w:rPr>
                <w:rFonts w:ascii="Times New Roman;Times;Serif" w:hAnsi="Times New Roman;Times;Serif"/>
                <w:sz w:val="20"/>
              </w:rPr>
              <w:t>Warrantindehaveren giver hermed Selskabets Bestyrelse fuldmagt til på Warrantindehaverens vegne at iværksætte enhver foranstaltning, der måtte være nødvendig til opfyldelse af denne Aftale.</w:t>
            </w:r>
          </w:p>
        </w:tc>
        <w:tc>
          <w:tcPr>
            <w:tcW w:w="60" w:type="dxa"/>
            <w:tcBorders/>
            <w:vAlign w:val="center"/>
          </w:tcPr>
          <w:p>
            <w:pPr>
              <w:pStyle w:val="TableContents"/>
              <w:bidi w:val="0"/>
              <w:spacing w:before="0" w:after="283"/>
              <w:jc w:val="both"/>
              <w:rPr/>
            </w:pPr>
            <w:r>
              <w:rPr/>
              <w:t> </w:t>
            </w:r>
          </w:p>
        </w:tc>
        <w:tc>
          <w:tcPr>
            <w:tcW w:w="4622" w:type="dxa"/>
            <w:gridSpan w:val="2"/>
            <w:tcBorders/>
            <w:vAlign w:val="center"/>
          </w:tcPr>
          <w:p>
            <w:pPr>
              <w:pStyle w:val="TableContents"/>
              <w:bidi w:val="0"/>
              <w:spacing w:before="0" w:after="283"/>
              <w:jc w:val="both"/>
              <w:rPr/>
            </w:pPr>
            <w:r>
              <w:rPr/>
              <w:t>The Warrantee hereby grants the Board power of attorney to undertake any necessary actions on behalf of the Warrantee to ensure fulfilment of this Agreement.      </w:t>
            </w:r>
          </w:p>
        </w:tc>
      </w:tr>
      <w:tr>
        <w:trPr/>
        <w:tc>
          <w:tcPr>
            <w:tcW w:w="4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15 </w:t>
            </w:r>
          </w:p>
        </w:tc>
        <w:tc>
          <w:tcPr>
            <w:tcW w:w="508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Tavshedspligt</w:t>
            </w:r>
          </w:p>
        </w:tc>
        <w:tc>
          <w:tcPr>
            <w:tcW w:w="60" w:type="dxa"/>
            <w:tcBorders/>
            <w:vAlign w:val="center"/>
          </w:tcPr>
          <w:p>
            <w:pPr>
              <w:pStyle w:val="TableContents"/>
              <w:bidi w:val="0"/>
              <w:spacing w:before="0" w:after="283"/>
              <w:jc w:val="both"/>
              <w:rPr/>
            </w:pPr>
            <w:r>
              <w:rPr/>
              <w:t> </w:t>
            </w:r>
          </w:p>
        </w:tc>
        <w:tc>
          <w:tcPr>
            <w:tcW w:w="692" w:type="dxa"/>
            <w:tcBorders/>
            <w:vAlign w:val="center"/>
          </w:tcPr>
          <w:p>
            <w:pPr>
              <w:pStyle w:val="TableContents"/>
              <w:bidi w:val="0"/>
              <w:spacing w:before="0" w:after="283"/>
              <w:jc w:val="both"/>
              <w:rPr>
                <w:b/>
              </w:rPr>
            </w:pPr>
            <w:r>
              <w:rPr>
                <w:b/>
              </w:rPr>
              <w:t>15  </w:t>
            </w:r>
          </w:p>
        </w:tc>
        <w:tc>
          <w:tcPr>
            <w:tcW w:w="39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Confidentiality</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15.1 </w:t>
            </w:r>
          </w:p>
        </w:tc>
        <w:tc>
          <w:tcPr>
            <w:tcW w:w="508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Parterne forpligter sig til at behandle indholdet af denne Aftale og betingelserne for Aftalen fortroligt. En Part er berettiget til at fremlægge betingelserne i denne Aftale på skriftlig opfordring fra en offentlig myndighed, som har en lovlig ret til at kræve sådanne oplysninger, eller hvis en sådan fremlæggelse udspringer af lovgivningen.</w:t>
            </w:r>
          </w:p>
        </w:tc>
        <w:tc>
          <w:tcPr>
            <w:tcW w:w="60" w:type="dxa"/>
            <w:tcBorders/>
            <w:vAlign w:val="center"/>
          </w:tcPr>
          <w:p>
            <w:pPr>
              <w:pStyle w:val="TableContents"/>
              <w:bidi w:val="0"/>
              <w:spacing w:before="0" w:after="283"/>
              <w:jc w:val="both"/>
              <w:rPr/>
            </w:pPr>
            <w:r>
              <w:rPr/>
              <w:t> </w:t>
            </w:r>
          </w:p>
        </w:tc>
        <w:tc>
          <w:tcPr>
            <w:tcW w:w="4622" w:type="dxa"/>
            <w:gridSpan w:val="2"/>
            <w:tcBorders/>
            <w:vAlign w:val="center"/>
          </w:tcPr>
          <w:p>
            <w:pPr>
              <w:pStyle w:val="TableContents"/>
              <w:bidi w:val="0"/>
              <w:spacing w:before="0" w:after="283"/>
              <w:jc w:val="both"/>
              <w:rPr/>
            </w:pPr>
            <w:r>
              <w:rPr/>
              <w:t>The Parties undertake to treat the content of this Agreement and its terms and conditions confidential. A Party shall be entitled to disclose the terms and conditions of this Agreement upon written re- quest from a public authority that has a legal right to require this information or if such disclosure follows from statutory law.</w:t>
            </w:r>
          </w:p>
        </w:tc>
      </w:tr>
      <w:tr>
        <w:trPr/>
        <w:tc>
          <w:tcPr>
            <w:tcW w:w="4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16</w:t>
            </w:r>
          </w:p>
        </w:tc>
        <w:tc>
          <w:tcPr>
            <w:tcW w:w="508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Lovvalg</w:t>
            </w:r>
          </w:p>
        </w:tc>
        <w:tc>
          <w:tcPr>
            <w:tcW w:w="60" w:type="dxa"/>
            <w:tcBorders/>
            <w:vAlign w:val="center"/>
          </w:tcPr>
          <w:p>
            <w:pPr>
              <w:pStyle w:val="TableContents"/>
              <w:bidi w:val="0"/>
              <w:spacing w:before="0" w:after="283"/>
              <w:jc w:val="both"/>
              <w:rPr/>
            </w:pPr>
            <w:r>
              <w:rPr/>
              <w:t> </w:t>
            </w:r>
          </w:p>
        </w:tc>
        <w:tc>
          <w:tcPr>
            <w:tcW w:w="692" w:type="dxa"/>
            <w:tcBorders/>
            <w:vAlign w:val="center"/>
          </w:tcPr>
          <w:p>
            <w:pPr>
              <w:pStyle w:val="TableContents"/>
              <w:bidi w:val="0"/>
              <w:spacing w:before="0" w:after="283"/>
              <w:jc w:val="both"/>
              <w:rPr>
                <w:b/>
              </w:rPr>
            </w:pPr>
            <w:r>
              <w:rPr>
                <w:b/>
              </w:rPr>
              <w:t>16</w:t>
            </w:r>
          </w:p>
        </w:tc>
        <w:tc>
          <w:tcPr>
            <w:tcW w:w="39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Governing law</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16.1</w:t>
            </w:r>
          </w:p>
        </w:tc>
        <w:tc>
          <w:tcPr>
            <w:tcW w:w="5083" w:type="dxa"/>
            <w:tcBorders/>
            <w:vAlign w:val="center"/>
          </w:tcPr>
          <w:p>
            <w:pPr>
              <w:pStyle w:val="TableContents"/>
              <w:bidi w:val="0"/>
              <w:spacing w:before="0" w:after="283"/>
              <w:jc w:val="both"/>
              <w:rPr/>
            </w:pPr>
            <w:r>
              <w:rPr/>
              <w:t> </w:t>
            </w:r>
            <w:r>
              <w:rPr>
                <w:rFonts w:ascii="Times New Roman;Times;Serif" w:hAnsi="Times New Roman;Times;Serif"/>
                <w:sz w:val="20"/>
              </w:rPr>
              <w:t>Denne Aftale er underlagt dansk ret.</w:t>
            </w:r>
          </w:p>
        </w:tc>
        <w:tc>
          <w:tcPr>
            <w:tcW w:w="60" w:type="dxa"/>
            <w:tcBorders/>
            <w:vAlign w:val="center"/>
          </w:tcPr>
          <w:p>
            <w:pPr>
              <w:pStyle w:val="TableContents"/>
              <w:bidi w:val="0"/>
              <w:spacing w:before="0" w:after="283"/>
              <w:jc w:val="both"/>
              <w:rPr/>
            </w:pPr>
            <w:r>
              <w:rPr/>
              <w:t> </w:t>
            </w:r>
          </w:p>
        </w:tc>
        <w:tc>
          <w:tcPr>
            <w:tcW w:w="4622" w:type="dxa"/>
            <w:gridSpan w:val="2"/>
            <w:tcBorders/>
            <w:vAlign w:val="center"/>
          </w:tcPr>
          <w:p>
            <w:pPr>
              <w:pStyle w:val="TableContents"/>
              <w:bidi w:val="0"/>
              <w:spacing w:before="0" w:after="283"/>
              <w:jc w:val="both"/>
              <w:rPr/>
            </w:pPr>
            <w:r>
              <w:rPr/>
              <w:t>This Agreement shall be governed by the laws of Denmark.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440"/>
        <w:gridCol w:w="4459"/>
        <w:gridCol w:w="60"/>
        <w:gridCol w:w="390"/>
        <w:gridCol w:w="4856"/>
      </w:tblGrid>
      <w:tr>
        <w:trPr/>
        <w:tc>
          <w:tcPr>
            <w:tcW w:w="4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17</w:t>
            </w:r>
          </w:p>
        </w:tc>
        <w:tc>
          <w:tcPr>
            <w:tcW w:w="44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Tvister</w:t>
            </w:r>
          </w:p>
        </w:tc>
        <w:tc>
          <w:tcPr>
            <w:tcW w:w="60" w:type="dxa"/>
            <w:tcBorders/>
            <w:vAlign w:val="center"/>
          </w:tcPr>
          <w:p>
            <w:pPr>
              <w:pStyle w:val="TableContents"/>
              <w:bidi w:val="0"/>
              <w:spacing w:before="0" w:after="283"/>
              <w:jc w:val="both"/>
              <w:rPr/>
            </w:pPr>
            <w:r>
              <w:rPr/>
              <w:t> </w:t>
            </w:r>
          </w:p>
        </w:tc>
        <w:tc>
          <w:tcPr>
            <w:tcW w:w="3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17</w:t>
            </w:r>
          </w:p>
        </w:tc>
        <w:tc>
          <w:tcPr>
            <w:tcW w:w="4856" w:type="dxa"/>
            <w:tcBorders/>
            <w:vAlign w:val="center"/>
          </w:tcPr>
          <w:p>
            <w:pPr>
              <w:pStyle w:val="TableContents"/>
              <w:bidi w:val="0"/>
              <w:spacing w:before="0" w:after="283"/>
              <w:jc w:val="both"/>
              <w:rPr>
                <w:b/>
              </w:rPr>
            </w:pPr>
            <w:r>
              <w:rPr>
                <w:b/>
              </w:rPr>
              <w:t>Disputes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17.1</w:t>
            </w:r>
          </w:p>
        </w:tc>
        <w:tc>
          <w:tcPr>
            <w:tcW w:w="44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Enhver tvist mellem Parterne, der måtte udspringe af Aftalen, herunder dens indgåelse eller ophør, skal først søges afgjort ved forhandling. Kan Parterne ikke nå til enighed, afgøres tvisten ved de danske domstole i København.</w:t>
            </w:r>
          </w:p>
        </w:tc>
        <w:tc>
          <w:tcPr>
            <w:tcW w:w="60" w:type="dxa"/>
            <w:tcBorders/>
            <w:vAlign w:val="center"/>
          </w:tcPr>
          <w:p>
            <w:pPr>
              <w:pStyle w:val="TableContents"/>
              <w:bidi w:val="0"/>
              <w:spacing w:before="0" w:after="283"/>
              <w:jc w:val="both"/>
              <w:rPr/>
            </w:pPr>
            <w:r>
              <w:rPr/>
              <w:t> </w:t>
            </w:r>
          </w:p>
        </w:tc>
        <w:tc>
          <w:tcPr>
            <w:tcW w:w="5246" w:type="dxa"/>
            <w:gridSpan w:val="2"/>
            <w:tcBorders/>
            <w:vAlign w:val="center"/>
          </w:tcPr>
          <w:p>
            <w:pPr>
              <w:pStyle w:val="TableContents"/>
              <w:bidi w:val="0"/>
              <w:spacing w:before="0" w:after="283"/>
              <w:jc w:val="both"/>
              <w:rPr/>
            </w:pPr>
            <w:r>
              <w:rPr/>
              <w:t>The Parties shall primarily seek to amicably settle any dispute arising out of or in connection with this Agreement, including its conclusion or termination. If the Parties cannot reach an agreement, the dispute shall be settled by the Danish courts in Copenhagen.      </w:t>
            </w:r>
          </w:p>
        </w:tc>
      </w:tr>
      <w:tr>
        <w:trPr/>
        <w:tc>
          <w:tcPr>
            <w:tcW w:w="4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18 </w:t>
            </w:r>
          </w:p>
        </w:tc>
        <w:tc>
          <w:tcPr>
            <w:tcW w:w="44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Underskrift, hele Aftalen og ændringer hertil</w:t>
            </w:r>
          </w:p>
        </w:tc>
        <w:tc>
          <w:tcPr>
            <w:tcW w:w="60" w:type="dxa"/>
            <w:tcBorders/>
            <w:vAlign w:val="center"/>
          </w:tcPr>
          <w:p>
            <w:pPr>
              <w:pStyle w:val="TableContents"/>
              <w:bidi w:val="0"/>
              <w:spacing w:before="0" w:after="283"/>
              <w:jc w:val="both"/>
              <w:rPr/>
            </w:pPr>
            <w:r>
              <w:rPr/>
              <w:t> </w:t>
            </w:r>
          </w:p>
        </w:tc>
        <w:tc>
          <w:tcPr>
            <w:tcW w:w="3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18 </w:t>
            </w:r>
          </w:p>
        </w:tc>
        <w:tc>
          <w:tcPr>
            <w:tcW w:w="4856" w:type="dxa"/>
            <w:tcBorders/>
            <w:vAlign w:val="center"/>
          </w:tcPr>
          <w:p>
            <w:pPr>
              <w:pStyle w:val="TableContents"/>
              <w:bidi w:val="0"/>
              <w:spacing w:before="0" w:after="283"/>
              <w:jc w:val="both"/>
              <w:rPr>
                <w:b/>
              </w:rPr>
            </w:pPr>
            <w:r>
              <w:rPr>
                <w:b/>
              </w:rPr>
              <w:t>Signatures, entire Agreement, and amendments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18.1</w:t>
            </w:r>
          </w:p>
        </w:tc>
        <w:tc>
          <w:tcPr>
            <w:tcW w:w="44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Denne Aftale er udfærdiget i to eksemplarer, hvoraf det ene underskrevne eksemplar forbliver hos Selskabet, mens det andet underskrevne eksemplar udleveres til Warrantindehaveren. Aftalen træder i kraft på datoen for underskrivelsen.</w:t>
            </w:r>
          </w:p>
        </w:tc>
        <w:tc>
          <w:tcPr>
            <w:tcW w:w="60" w:type="dxa"/>
            <w:tcBorders/>
            <w:vAlign w:val="center"/>
          </w:tcPr>
          <w:p>
            <w:pPr>
              <w:pStyle w:val="TableContents"/>
              <w:bidi w:val="0"/>
              <w:spacing w:before="0" w:after="283"/>
              <w:jc w:val="both"/>
              <w:rPr/>
            </w:pPr>
            <w:r>
              <w:rPr/>
              <w:t> </w:t>
            </w:r>
          </w:p>
        </w:tc>
        <w:tc>
          <w:tcPr>
            <w:tcW w:w="5246" w:type="dxa"/>
            <w:gridSpan w:val="2"/>
            <w:tcBorders/>
            <w:vAlign w:val="center"/>
          </w:tcPr>
          <w:p>
            <w:pPr>
              <w:pStyle w:val="TableContents"/>
              <w:bidi w:val="0"/>
              <w:spacing w:before="0" w:after="283"/>
              <w:jc w:val="both"/>
              <w:rPr/>
            </w:pPr>
            <w:r>
              <w:rPr/>
              <w:t>This Agreement is signed in two copies; one shall be held by the Company and the other by the Warrantee. The Agreement shall be in force from the date of signing.      </w:t>
            </w:r>
          </w:p>
        </w:tc>
      </w:tr>
      <w:tr>
        <w:trPr/>
        <w:tc>
          <w:tcPr>
            <w:tcW w:w="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18.2 </w:t>
            </w:r>
          </w:p>
        </w:tc>
        <w:tc>
          <w:tcPr>
            <w:tcW w:w="4459" w:type="dxa"/>
            <w:tcBorders/>
            <w:vAlign w:val="center"/>
          </w:tcPr>
          <w:p>
            <w:pPr>
              <w:pStyle w:val="TableContents"/>
              <w:bidi w:val="0"/>
              <w:spacing w:before="0" w:after="283"/>
              <w:jc w:val="both"/>
              <w:rPr/>
            </w:pPr>
            <w:r>
              <w:rPr/>
              <w:t>Alle meddelelser eller lignende i henhold til eller i forbindelse med Aftalen skal foretages skriftligt fra den ene Part til den anden.  </w:t>
            </w:r>
          </w:p>
        </w:tc>
        <w:tc>
          <w:tcPr>
            <w:tcW w:w="60" w:type="dxa"/>
            <w:tcBorders/>
            <w:vAlign w:val="center"/>
          </w:tcPr>
          <w:p>
            <w:pPr>
              <w:pStyle w:val="TableContents"/>
              <w:bidi w:val="0"/>
              <w:spacing w:before="0" w:after="283"/>
              <w:jc w:val="both"/>
              <w:rPr/>
            </w:pPr>
            <w:r>
              <w:rPr/>
              <w:t> </w:t>
            </w:r>
          </w:p>
        </w:tc>
        <w:tc>
          <w:tcPr>
            <w:tcW w:w="5246" w:type="dxa"/>
            <w:gridSpan w:val="2"/>
            <w:tcBorders/>
            <w:vAlign w:val="center"/>
          </w:tcPr>
          <w:p>
            <w:pPr>
              <w:pStyle w:val="TableContents"/>
              <w:bidi w:val="0"/>
              <w:spacing w:before="0" w:after="283"/>
              <w:jc w:val="both"/>
              <w:rPr/>
            </w:pPr>
            <w:r>
              <w:rPr/>
              <w:t>All notifications, demands or similar pursuant to or relating to this Agreement shall be made in writing to the other Party.      </w:t>
            </w:r>
          </w:p>
        </w:tc>
      </w:tr>
      <w:tr>
        <w:trPr/>
        <w:tc>
          <w:tcPr>
            <w:tcW w:w="440" w:type="dxa"/>
            <w:tcBorders/>
            <w:vAlign w:val="center"/>
          </w:tcPr>
          <w:p>
            <w:pPr>
              <w:pStyle w:val="TableContents"/>
              <w:bidi w:val="0"/>
              <w:spacing w:before="0" w:after="283"/>
              <w:jc w:val="both"/>
              <w:rPr/>
            </w:pPr>
            <w:r>
              <w:rPr/>
              <w:t> </w:t>
            </w:r>
          </w:p>
        </w:tc>
        <w:tc>
          <w:tcPr>
            <w:tcW w:w="4459" w:type="dxa"/>
            <w:tcBorders/>
            <w:vAlign w:val="center"/>
          </w:tcPr>
          <w:p>
            <w:pPr>
              <w:pStyle w:val="TableContents"/>
              <w:bidi w:val="0"/>
              <w:spacing w:before="0" w:after="283"/>
              <w:jc w:val="center"/>
              <w:rPr/>
            </w:pPr>
            <w:r>
              <w:rPr/>
              <w:t>- 0 –  </w:t>
            </w:r>
          </w:p>
        </w:tc>
        <w:tc>
          <w:tcPr>
            <w:tcW w:w="60" w:type="dxa"/>
            <w:tcBorders/>
            <w:vAlign w:val="center"/>
          </w:tcPr>
          <w:p>
            <w:pPr>
              <w:pStyle w:val="TableContents"/>
              <w:bidi w:val="0"/>
              <w:spacing w:before="0" w:after="283"/>
              <w:jc w:val="both"/>
              <w:rPr/>
            </w:pPr>
            <w:r>
              <w:rPr/>
              <w:t> </w:t>
            </w:r>
          </w:p>
        </w:tc>
        <w:tc>
          <w:tcPr>
            <w:tcW w:w="5246" w:type="dxa"/>
            <w:gridSpan w:val="2"/>
            <w:tcBorders/>
            <w:vAlign w:val="center"/>
          </w:tcPr>
          <w:p>
            <w:pPr>
              <w:pStyle w:val="TableContents"/>
              <w:bidi w:val="0"/>
              <w:spacing w:before="0" w:after="283"/>
              <w:jc w:val="center"/>
              <w:rPr/>
            </w:pPr>
            <w:r>
              <w:rPr/>
              <w:t>- 0 -</w:t>
            </w:r>
          </w:p>
        </w:tc>
      </w:tr>
    </w:tbl>
    <w:tbl>
      <w:tblPr>
        <w:tblW w:w="6385" w:type="dxa"/>
        <w:jc w:val="left"/>
        <w:tblInd w:w="0" w:type="dxa"/>
        <w:tblLayout w:type="fixed"/>
        <w:tblCellMar>
          <w:top w:w="0" w:type="dxa"/>
          <w:left w:w="0" w:type="dxa"/>
          <w:bottom w:w="0" w:type="dxa"/>
          <w:right w:w="0" w:type="dxa"/>
        </w:tblCellMar>
      </w:tblPr>
      <w:tblGrid>
        <w:gridCol w:w="4205"/>
        <w:gridCol w:w="90"/>
        <w:gridCol w:w="2090"/>
      </w:tblGrid>
      <w:tr>
        <w:trPr/>
        <w:tc>
          <w:tcPr>
            <w:tcW w:w="42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 and on behalf of Evaxion Biotech ApS:</w:t>
            </w:r>
          </w:p>
        </w:tc>
        <w:tc>
          <w:tcPr>
            <w:tcW w:w="90" w:type="dxa"/>
            <w:tcBorders/>
            <w:vAlign w:val="center"/>
          </w:tcPr>
          <w:p>
            <w:pPr>
              <w:pStyle w:val="TableContents"/>
              <w:bidi w:val="0"/>
              <w:spacing w:before="0" w:after="283"/>
              <w:jc w:val="both"/>
              <w:rPr/>
            </w:pPr>
            <w:r>
              <w:rPr/>
              <w:t> </w:t>
            </w:r>
          </w:p>
        </w:tc>
        <w:tc>
          <w:tcPr>
            <w:tcW w:w="20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For </w:t>
            </w:r>
            <w:r>
              <w:rPr>
                <w:rFonts w:ascii="Times New Roman;Times;Serif" w:hAnsi="Times New Roman;Times;Serif"/>
                <w:b/>
              </w:rPr>
              <w:t>[the Warantee]:</w:t>
            </w:r>
          </w:p>
        </w:tc>
      </w:tr>
      <w:tr>
        <w:trPr/>
        <w:tc>
          <w:tcPr>
            <w:tcW w:w="42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2090" w:type="dxa"/>
            <w:tcBorders/>
            <w:vAlign w:val="center"/>
          </w:tcPr>
          <w:p>
            <w:pPr>
              <w:pStyle w:val="TableContents"/>
              <w:bidi w:val="0"/>
              <w:spacing w:before="0" w:after="283"/>
              <w:jc w:val="both"/>
              <w:rPr/>
            </w:pPr>
            <w:r>
              <w:rPr/>
              <w:t> </w:t>
            </w:r>
          </w:p>
        </w:tc>
      </w:tr>
      <w:tr>
        <w:trPr/>
        <w:tc>
          <w:tcPr>
            <w:tcW w:w="4205" w:type="dxa"/>
            <w:tcBorders>
              <w:bottom w:val="single" w:sz="8" w:space="0" w:color="000000"/>
            </w:tcBorders>
            <w:tcMar>
              <w:bottom w:w="28" w:type="dxa"/>
            </w:tcMar>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209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2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w:t>
            </w:r>
          </w:p>
        </w:tc>
        <w:tc>
          <w:tcPr>
            <w:tcW w:w="90" w:type="dxa"/>
            <w:tcBorders/>
            <w:vAlign w:val="center"/>
          </w:tcPr>
          <w:p>
            <w:pPr>
              <w:pStyle w:val="TableContents"/>
              <w:bidi w:val="0"/>
              <w:spacing w:before="0" w:after="283"/>
              <w:jc w:val="both"/>
              <w:rPr/>
            </w:pPr>
            <w:r>
              <w:rPr/>
              <w:t> </w:t>
            </w:r>
          </w:p>
        </w:tc>
        <w:tc>
          <w:tcPr>
            <w:tcW w:w="20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w:t>
            </w:r>
          </w:p>
        </w:tc>
      </w:tr>
      <w:tr>
        <w:trPr/>
        <w:tc>
          <w:tcPr>
            <w:tcW w:w="42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c>
          <w:tcPr>
            <w:tcW w:w="90" w:type="dxa"/>
            <w:tcBorders/>
            <w:vAlign w:val="center"/>
          </w:tcPr>
          <w:p>
            <w:pPr>
              <w:pStyle w:val="TableContents"/>
              <w:bidi w:val="0"/>
              <w:spacing w:before="0" w:after="283"/>
              <w:jc w:val="both"/>
              <w:rPr/>
            </w:pPr>
            <w:r>
              <w:rPr/>
              <w:t> </w:t>
            </w:r>
          </w:p>
        </w:tc>
        <w:tc>
          <w:tcPr>
            <w:tcW w:w="20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r>
      <w:tr>
        <w:trPr/>
        <w:tc>
          <w:tcPr>
            <w:tcW w:w="42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2090" w:type="dxa"/>
            <w:tcBorders/>
            <w:vAlign w:val="center"/>
          </w:tcPr>
          <w:p>
            <w:pPr>
              <w:pStyle w:val="TableContents"/>
              <w:bidi w:val="0"/>
              <w:spacing w:before="0" w:after="283"/>
              <w:jc w:val="both"/>
              <w:rPr/>
            </w:pPr>
            <w:r>
              <w:rPr/>
              <w:t> </w:t>
            </w:r>
          </w:p>
        </w:tc>
      </w:tr>
      <w:tr>
        <w:trPr/>
        <w:tc>
          <w:tcPr>
            <w:tcW w:w="4205" w:type="dxa"/>
            <w:tcBorders>
              <w:bottom w:val="single" w:sz="8" w:space="0" w:color="000000"/>
            </w:tcBorders>
            <w:tcMar>
              <w:bottom w:w="28" w:type="dxa"/>
            </w:tcMar>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209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2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w:t>
            </w:r>
          </w:p>
        </w:tc>
        <w:tc>
          <w:tcPr>
            <w:tcW w:w="90" w:type="dxa"/>
            <w:tcBorders/>
            <w:vAlign w:val="center"/>
          </w:tcPr>
          <w:p>
            <w:pPr>
              <w:pStyle w:val="TableContents"/>
              <w:bidi w:val="0"/>
              <w:spacing w:before="0" w:after="283"/>
              <w:jc w:val="both"/>
              <w:rPr/>
            </w:pPr>
            <w:r>
              <w:rPr/>
              <w:t> </w:t>
            </w:r>
          </w:p>
        </w:tc>
        <w:tc>
          <w:tcPr>
            <w:tcW w:w="20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w:t>
            </w:r>
          </w:p>
        </w:tc>
      </w:tr>
      <w:tr>
        <w:trPr/>
        <w:tc>
          <w:tcPr>
            <w:tcW w:w="42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c>
          <w:tcPr>
            <w:tcW w:w="90" w:type="dxa"/>
            <w:tcBorders/>
            <w:vAlign w:val="center"/>
          </w:tcPr>
          <w:p>
            <w:pPr>
              <w:pStyle w:val="TableContents"/>
              <w:bidi w:val="0"/>
              <w:spacing w:before="0" w:after="283"/>
              <w:jc w:val="both"/>
              <w:rPr/>
            </w:pPr>
            <w:r>
              <w:rPr/>
              <w:t> </w:t>
            </w:r>
          </w:p>
        </w:tc>
        <w:tc>
          <w:tcPr>
            <w:tcW w:w="20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5375" w:type="dxa"/>
        <w:jc w:val="left"/>
        <w:tblInd w:w="0" w:type="dxa"/>
        <w:tblLayout w:type="fixed"/>
        <w:tblCellMar>
          <w:top w:w="0" w:type="dxa"/>
          <w:left w:w="0" w:type="dxa"/>
          <w:bottom w:w="0" w:type="dxa"/>
          <w:right w:w="0" w:type="dxa"/>
        </w:tblCellMar>
      </w:tblPr>
      <w:tblGrid>
        <w:gridCol w:w="5375"/>
      </w:tblGrid>
      <w:tr>
        <w:trPr/>
        <w:tc>
          <w:tcPr>
            <w:tcW w:w="537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BILAG 2 TIL VEDTÆGTER</w:t>
            </w:r>
          </w:p>
        </w:tc>
      </w:tr>
      <w:tr>
        <w:trPr/>
        <w:tc>
          <w:tcPr>
            <w:tcW w:w="5375" w:type="dxa"/>
            <w:tcBorders/>
            <w:vAlign w:val="center"/>
          </w:tcPr>
          <w:p>
            <w:pPr>
              <w:pStyle w:val="TableContents"/>
              <w:bidi w:val="0"/>
              <w:spacing w:before="0" w:after="283"/>
              <w:jc w:val="both"/>
              <w:rPr/>
            </w:pPr>
            <w:r>
              <w:rPr/>
              <w:t> </w:t>
            </w:r>
          </w:p>
        </w:tc>
      </w:tr>
      <w:tr>
        <w:trPr/>
        <w:tc>
          <w:tcPr>
            <w:tcW w:w="537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APPENDIX 2 TO ARTICLES OF ASSOCIATION</w:t>
            </w:r>
          </w:p>
        </w:tc>
      </w:tr>
    </w:tbl>
    <w:p>
      <w:pPr>
        <w:pStyle w:val="TextBody"/>
        <w:bidi w:val="0"/>
        <w:spacing w:before="0" w:after="0"/>
        <w:ind w:left="0" w:right="0" w:hanging="0"/>
        <w:jc w:val="both"/>
        <w:rPr>
          <w:caps w:val="false"/>
          <w:smallCaps w:val="false"/>
        </w:rPr>
      </w:pPr>
      <w:r>
        <w:rPr>
          <w:caps w:val="false"/>
          <w:smallCaps w:val="false"/>
        </w:rPr>
        <w:t> </w:t>
      </w:r>
    </w:p>
    <w:tbl>
      <w:tblPr>
        <w:tblW w:w="7085" w:type="dxa"/>
        <w:jc w:val="left"/>
        <w:tblInd w:w="0" w:type="dxa"/>
        <w:tblLayout w:type="fixed"/>
        <w:tblCellMar>
          <w:top w:w="0" w:type="dxa"/>
          <w:left w:w="0" w:type="dxa"/>
          <w:bottom w:w="0" w:type="dxa"/>
          <w:right w:w="0" w:type="dxa"/>
        </w:tblCellMar>
      </w:tblPr>
      <w:tblGrid>
        <w:gridCol w:w="2225"/>
        <w:gridCol w:w="1790"/>
        <w:gridCol w:w="1265"/>
        <w:gridCol w:w="1805"/>
      </w:tblGrid>
      <w:tr>
        <w:trPr/>
        <w:tc>
          <w:tcPr>
            <w:tcW w:w="22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WARRANTAFTALE</w:t>
            </w:r>
          </w:p>
        </w:tc>
        <w:tc>
          <w:tcPr>
            <w:tcW w:w="1790" w:type="dxa"/>
            <w:tcBorders/>
            <w:vAlign w:val="center"/>
          </w:tcPr>
          <w:p>
            <w:pPr>
              <w:pStyle w:val="TableContents"/>
              <w:bidi w:val="0"/>
              <w:spacing w:before="0" w:after="283"/>
              <w:jc w:val="both"/>
              <w:rPr/>
            </w:pPr>
            <w:r>
              <w:rPr/>
              <w:t> </w:t>
            </w:r>
          </w:p>
        </w:tc>
        <w:tc>
          <w:tcPr>
            <w:tcW w:w="12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w:t>
            </w:r>
          </w:p>
        </w:tc>
        <w:tc>
          <w:tcPr>
            <w:tcW w:w="1805" w:type="dxa"/>
            <w:tcBorders/>
            <w:vAlign w:val="center"/>
          </w:tcPr>
          <w:p>
            <w:pPr>
              <w:pStyle w:val="TableContents"/>
              <w:bidi w:val="0"/>
              <w:spacing w:before="0" w:after="283"/>
              <w:jc w:val="both"/>
              <w:rPr/>
            </w:pPr>
            <w:r>
              <w:rPr/>
              <w:t> </w:t>
            </w:r>
          </w:p>
        </w:tc>
      </w:tr>
      <w:tr>
        <w:trPr/>
        <w:tc>
          <w:tcPr>
            <w:tcW w:w="22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AGREEMENT</w:t>
            </w:r>
          </w:p>
        </w:tc>
        <w:tc>
          <w:tcPr>
            <w:tcW w:w="1790" w:type="dxa"/>
            <w:tcBorders/>
            <w:vAlign w:val="center"/>
          </w:tcPr>
          <w:p>
            <w:pPr>
              <w:pStyle w:val="TableContents"/>
              <w:bidi w:val="0"/>
              <w:spacing w:before="0" w:after="283"/>
              <w:jc w:val="both"/>
              <w:rPr/>
            </w:pPr>
            <w:r>
              <w:rPr/>
              <w:t> </w:t>
            </w:r>
          </w:p>
        </w:tc>
        <w:tc>
          <w:tcPr>
            <w:tcW w:w="126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t> </w:t>
            </w:r>
          </w:p>
        </w:tc>
      </w:tr>
      <w:tr>
        <w:trPr/>
        <w:tc>
          <w:tcPr>
            <w:tcW w:w="2225" w:type="dxa"/>
            <w:tcBorders/>
            <w:vAlign w:val="center"/>
          </w:tcPr>
          <w:p>
            <w:pPr>
              <w:pStyle w:val="TableContents"/>
              <w:bidi w:val="0"/>
              <w:spacing w:before="0" w:after="283"/>
              <w:jc w:val="both"/>
              <w:rPr/>
            </w:pPr>
            <w:r>
              <w:rPr/>
              <w:t> </w:t>
            </w:r>
          </w:p>
        </w:tc>
        <w:tc>
          <w:tcPr>
            <w:tcW w:w="1790" w:type="dxa"/>
            <w:tcBorders/>
            <w:vAlign w:val="center"/>
          </w:tcPr>
          <w:p>
            <w:pPr>
              <w:pStyle w:val="TableContents"/>
              <w:bidi w:val="0"/>
              <w:spacing w:before="0" w:after="283"/>
              <w:jc w:val="both"/>
              <w:rPr/>
            </w:pPr>
            <w:r>
              <w:rPr/>
              <w:t> </w:t>
            </w:r>
          </w:p>
        </w:tc>
        <w:tc>
          <w:tcPr>
            <w:tcW w:w="126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t> </w:t>
            </w:r>
          </w:p>
        </w:tc>
      </w:tr>
      <w:tr>
        <w:trPr/>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Mellem</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Evaxion Biotech ApS</w:t>
            </w:r>
          </w:p>
        </w:tc>
        <w:tc>
          <w:tcPr>
            <w:tcW w:w="1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Between</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Evaxion Biotech ApS</w:t>
            </w:r>
          </w:p>
        </w:tc>
      </w:tr>
      <w:tr>
        <w:trPr/>
        <w:tc>
          <w:tcPr>
            <w:tcW w:w="2225" w:type="dxa"/>
            <w:tcBorders/>
            <w:vAlign w:val="center"/>
          </w:tcPr>
          <w:p>
            <w:pPr>
              <w:pStyle w:val="TableContents"/>
              <w:bidi w:val="0"/>
              <w:spacing w:before="0" w:after="283"/>
              <w:jc w:val="both"/>
              <w:rPr/>
            </w:pPr>
            <w:r>
              <w:rPr/>
              <w:t> </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Bredgade 34 E</w:t>
            </w:r>
          </w:p>
        </w:tc>
        <w:tc>
          <w:tcPr>
            <w:tcW w:w="126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Bredgade 34 E</w:t>
            </w:r>
          </w:p>
        </w:tc>
      </w:tr>
      <w:tr>
        <w:trPr/>
        <w:tc>
          <w:tcPr>
            <w:tcW w:w="2225" w:type="dxa"/>
            <w:tcBorders/>
            <w:vAlign w:val="center"/>
          </w:tcPr>
          <w:p>
            <w:pPr>
              <w:pStyle w:val="TableContents"/>
              <w:bidi w:val="0"/>
              <w:spacing w:before="0" w:after="283"/>
              <w:jc w:val="both"/>
              <w:rPr/>
            </w:pPr>
            <w:r>
              <w:rPr/>
              <w:t> </w:t>
            </w:r>
          </w:p>
        </w:tc>
        <w:tc>
          <w:tcPr>
            <w:tcW w:w="1790" w:type="dxa"/>
            <w:tcBorders/>
            <w:vAlign w:val="center"/>
          </w:tcPr>
          <w:p>
            <w:pPr>
              <w:pStyle w:val="TableContents"/>
              <w:bidi w:val="0"/>
              <w:spacing w:before="0" w:after="283"/>
              <w:jc w:val="both"/>
              <w:rPr/>
            </w:pPr>
            <w:r>
              <w:rPr>
                <w:rFonts w:ascii="Times New Roman;Times;Serif" w:hAnsi="Times New Roman;Times;Serif"/>
                <w:sz w:val="20"/>
              </w:rPr>
              <w:t>1260 K</w:t>
            </w:r>
            <w:r>
              <w:rPr>
                <w:sz w:val="20"/>
              </w:rPr>
              <w:t>ø</w:t>
            </w:r>
            <w:r>
              <w:rPr>
                <w:rFonts w:ascii="Times New Roman;Times;Serif" w:hAnsi="Times New Roman;Times;Serif"/>
                <w:sz w:val="20"/>
              </w:rPr>
              <w:t>benhavn K</w:t>
            </w:r>
          </w:p>
        </w:tc>
        <w:tc>
          <w:tcPr>
            <w:tcW w:w="126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1260 Copenhagen K</w:t>
            </w:r>
          </w:p>
        </w:tc>
      </w:tr>
      <w:tr>
        <w:trPr/>
        <w:tc>
          <w:tcPr>
            <w:tcW w:w="2225" w:type="dxa"/>
            <w:tcBorders/>
            <w:vAlign w:val="center"/>
          </w:tcPr>
          <w:p>
            <w:pPr>
              <w:pStyle w:val="TableContents"/>
              <w:bidi w:val="0"/>
              <w:spacing w:before="0" w:after="283"/>
              <w:jc w:val="both"/>
              <w:rPr/>
            </w:pPr>
            <w:r>
              <w:rPr/>
              <w:t> </w:t>
            </w:r>
          </w:p>
        </w:tc>
        <w:tc>
          <w:tcPr>
            <w:tcW w:w="1790" w:type="dxa"/>
            <w:tcBorders/>
            <w:vAlign w:val="center"/>
          </w:tcPr>
          <w:p>
            <w:pPr>
              <w:pStyle w:val="TableContents"/>
              <w:bidi w:val="0"/>
              <w:spacing w:before="0" w:after="283"/>
              <w:jc w:val="both"/>
              <w:rPr/>
            </w:pPr>
            <w:r>
              <w:rPr/>
              <w:t> </w:t>
            </w:r>
          </w:p>
        </w:tc>
        <w:tc>
          <w:tcPr>
            <w:tcW w:w="126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t> </w:t>
            </w:r>
          </w:p>
        </w:tc>
      </w:tr>
      <w:tr>
        <w:trPr/>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og</w:t>
            </w:r>
          </w:p>
        </w:tc>
        <w:tc>
          <w:tcPr>
            <w:tcW w:w="17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[Navn]</w:t>
            </w:r>
          </w:p>
        </w:tc>
        <w:tc>
          <w:tcPr>
            <w:tcW w:w="1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and</w:t>
            </w:r>
          </w:p>
        </w:tc>
        <w:tc>
          <w:tcPr>
            <w:tcW w:w="18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[Name]</w:t>
            </w:r>
          </w:p>
        </w:tc>
      </w:tr>
      <w:tr>
        <w:trPr/>
        <w:tc>
          <w:tcPr>
            <w:tcW w:w="2225" w:type="dxa"/>
            <w:tcBorders/>
            <w:vAlign w:val="center"/>
          </w:tcPr>
          <w:p>
            <w:pPr>
              <w:pStyle w:val="TableContents"/>
              <w:bidi w:val="0"/>
              <w:spacing w:before="0" w:after="283"/>
              <w:jc w:val="both"/>
              <w:rPr/>
            </w:pPr>
            <w:r>
              <w:rPr/>
              <w:t> </w:t>
            </w:r>
          </w:p>
        </w:tc>
        <w:tc>
          <w:tcPr>
            <w:tcW w:w="17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[Adresse]</w:t>
            </w:r>
          </w:p>
        </w:tc>
        <w:tc>
          <w:tcPr>
            <w:tcW w:w="126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[Address]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5715" w:type="dxa"/>
        <w:jc w:val="left"/>
        <w:tblInd w:w="0" w:type="dxa"/>
        <w:tblLayout w:type="fixed"/>
        <w:tblCellMar>
          <w:top w:w="0" w:type="dxa"/>
          <w:left w:w="0" w:type="dxa"/>
          <w:bottom w:w="0" w:type="dxa"/>
          <w:right w:w="0" w:type="dxa"/>
        </w:tblCellMar>
      </w:tblPr>
      <w:tblGrid>
        <w:gridCol w:w="290"/>
        <w:gridCol w:w="5180"/>
        <w:gridCol w:w="245"/>
      </w:tblGrid>
      <w:tr>
        <w:trPr/>
        <w:tc>
          <w:tcPr>
            <w:tcW w:w="571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INDHOLDSFORTEGNELSE/TABLE OF CONTENTS</w:t>
            </w:r>
          </w:p>
        </w:tc>
      </w:tr>
      <w:tr>
        <w:trPr/>
        <w:tc>
          <w:tcPr>
            <w:tcW w:w="5715" w:type="dxa"/>
            <w:gridSpan w:val="3"/>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BAGGRUND OG OMFANG </w:t>
            </w:r>
          </w:p>
        </w:tc>
        <w:tc>
          <w:tcPr>
            <w:tcW w:w="245" w:type="dxa"/>
            <w:tcBorders/>
            <w:vAlign w:val="center"/>
          </w:tcPr>
          <w:p>
            <w:pPr>
              <w:pStyle w:val="TableContents"/>
              <w:bidi w:val="0"/>
              <w:spacing w:before="0" w:after="283"/>
              <w:jc w:val="right"/>
              <w:rPr>
                <w:sz w:val="20"/>
              </w:rPr>
            </w:pPr>
            <w:r>
              <w:rPr>
                <w:sz w:val="20"/>
              </w:rPr>
              <w:t>4</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BACKGROUND AND SCOPE</w:t>
            </w:r>
          </w:p>
        </w:tc>
        <w:tc>
          <w:tcPr>
            <w:tcW w:w="245" w:type="dxa"/>
            <w:tcBorders/>
            <w:vAlign w:val="center"/>
          </w:tcPr>
          <w:p>
            <w:pPr>
              <w:pStyle w:val="TableContents"/>
              <w:bidi w:val="0"/>
              <w:spacing w:before="0" w:after="283"/>
              <w:jc w:val="right"/>
              <w:rPr>
                <w:sz w:val="20"/>
              </w:rPr>
            </w:pPr>
            <w:r>
              <w:rPr>
                <w:sz w:val="20"/>
              </w:rPr>
              <w:t>4</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TILDELING AF WARRANTS</w:t>
            </w:r>
          </w:p>
        </w:tc>
        <w:tc>
          <w:tcPr>
            <w:tcW w:w="245" w:type="dxa"/>
            <w:tcBorders/>
            <w:vAlign w:val="center"/>
          </w:tcPr>
          <w:p>
            <w:pPr>
              <w:pStyle w:val="TableContents"/>
              <w:bidi w:val="0"/>
              <w:spacing w:before="0" w:after="283"/>
              <w:jc w:val="right"/>
              <w:rPr>
                <w:sz w:val="20"/>
              </w:rPr>
            </w:pPr>
            <w:r>
              <w:rPr>
                <w:sz w:val="20"/>
              </w:rPr>
              <w:t>5</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 OF WARRANTS</w:t>
            </w:r>
          </w:p>
        </w:tc>
        <w:tc>
          <w:tcPr>
            <w:tcW w:w="245" w:type="dxa"/>
            <w:tcBorders/>
            <w:vAlign w:val="center"/>
          </w:tcPr>
          <w:p>
            <w:pPr>
              <w:pStyle w:val="TableContents"/>
              <w:bidi w:val="0"/>
              <w:spacing w:before="0" w:after="283"/>
              <w:jc w:val="right"/>
              <w:rPr>
                <w:sz w:val="20"/>
              </w:rPr>
            </w:pPr>
            <w:r>
              <w:rPr>
                <w:sz w:val="20"/>
              </w:rPr>
              <w:t>5</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TEGNINGSPRIS</w:t>
            </w:r>
          </w:p>
        </w:tc>
        <w:tc>
          <w:tcPr>
            <w:tcW w:w="245" w:type="dxa"/>
            <w:tcBorders/>
            <w:vAlign w:val="center"/>
          </w:tcPr>
          <w:p>
            <w:pPr>
              <w:pStyle w:val="TableContents"/>
              <w:bidi w:val="0"/>
              <w:spacing w:before="0" w:after="283"/>
              <w:jc w:val="right"/>
              <w:rPr>
                <w:sz w:val="20"/>
              </w:rPr>
            </w:pPr>
            <w:r>
              <w:rPr>
                <w:sz w:val="20"/>
              </w:rPr>
              <w:t>5</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SUBSCRIPTION PRICE</w:t>
            </w:r>
          </w:p>
        </w:tc>
        <w:tc>
          <w:tcPr>
            <w:tcW w:w="245" w:type="dxa"/>
            <w:tcBorders/>
            <w:vAlign w:val="center"/>
          </w:tcPr>
          <w:p>
            <w:pPr>
              <w:pStyle w:val="TableContents"/>
              <w:bidi w:val="0"/>
              <w:spacing w:before="0" w:after="283"/>
              <w:jc w:val="right"/>
              <w:rPr>
                <w:sz w:val="20"/>
              </w:rPr>
            </w:pPr>
            <w:r>
              <w:rPr>
                <w:sz w:val="20"/>
              </w:rPr>
              <w:t>5</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UDNYTTELSE AF WARRANTS</w:t>
            </w:r>
          </w:p>
        </w:tc>
        <w:tc>
          <w:tcPr>
            <w:tcW w:w="245" w:type="dxa"/>
            <w:tcBorders/>
            <w:vAlign w:val="center"/>
          </w:tcPr>
          <w:p>
            <w:pPr>
              <w:pStyle w:val="TableContents"/>
              <w:bidi w:val="0"/>
              <w:spacing w:before="0" w:after="283"/>
              <w:jc w:val="right"/>
              <w:rPr>
                <w:sz w:val="20"/>
              </w:rPr>
            </w:pPr>
            <w:r>
              <w:rPr>
                <w:sz w:val="20"/>
              </w:rPr>
              <w:t>6</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WARRANTS</w:t>
            </w:r>
          </w:p>
        </w:tc>
        <w:tc>
          <w:tcPr>
            <w:tcW w:w="245" w:type="dxa"/>
            <w:tcBorders/>
            <w:vAlign w:val="center"/>
          </w:tcPr>
          <w:p>
            <w:pPr>
              <w:pStyle w:val="TableContents"/>
              <w:bidi w:val="0"/>
              <w:spacing w:before="0" w:after="283"/>
              <w:jc w:val="right"/>
              <w:rPr>
                <w:sz w:val="20"/>
              </w:rPr>
            </w:pPr>
            <w:r>
              <w:rPr>
                <w:sz w:val="20"/>
              </w:rPr>
              <w:t>6</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VISSE BETINGELSER I RELATION TIL EXIT</w:t>
            </w:r>
          </w:p>
        </w:tc>
        <w:tc>
          <w:tcPr>
            <w:tcW w:w="245" w:type="dxa"/>
            <w:tcBorders/>
            <w:vAlign w:val="center"/>
          </w:tcPr>
          <w:p>
            <w:pPr>
              <w:pStyle w:val="TableContents"/>
              <w:bidi w:val="0"/>
              <w:spacing w:before="0" w:after="283"/>
              <w:jc w:val="right"/>
              <w:rPr>
                <w:sz w:val="20"/>
              </w:rPr>
            </w:pPr>
            <w:r>
              <w:rPr>
                <w:sz w:val="20"/>
              </w:rPr>
              <w:t>9</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CONDITIONS RELATING TO AN EXIT</w:t>
            </w:r>
          </w:p>
        </w:tc>
        <w:tc>
          <w:tcPr>
            <w:tcW w:w="245" w:type="dxa"/>
            <w:tcBorders/>
            <w:vAlign w:val="center"/>
          </w:tcPr>
          <w:p>
            <w:pPr>
              <w:pStyle w:val="TableContents"/>
              <w:bidi w:val="0"/>
              <w:spacing w:before="0" w:after="283"/>
              <w:jc w:val="right"/>
              <w:rPr>
                <w:sz w:val="20"/>
              </w:rPr>
            </w:pPr>
            <w:r>
              <w:rPr>
                <w:sz w:val="20"/>
              </w:rPr>
              <w:t>9</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OPSIGELSE AF ANSÆTTELSESFORHOLDET</w:t>
            </w:r>
          </w:p>
        </w:tc>
        <w:tc>
          <w:tcPr>
            <w:tcW w:w="245" w:type="dxa"/>
            <w:tcBorders/>
            <w:vAlign w:val="center"/>
          </w:tcPr>
          <w:p>
            <w:pPr>
              <w:pStyle w:val="TableContents"/>
              <w:bidi w:val="0"/>
              <w:spacing w:before="0" w:after="283"/>
              <w:jc w:val="right"/>
              <w:rPr>
                <w:sz w:val="20"/>
              </w:rPr>
            </w:pPr>
            <w:r>
              <w:rPr>
                <w:sz w:val="20"/>
              </w:rPr>
              <w:t>12</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EMPLOYMENT</w:t>
            </w:r>
          </w:p>
        </w:tc>
        <w:tc>
          <w:tcPr>
            <w:tcW w:w="245" w:type="dxa"/>
            <w:tcBorders/>
            <w:vAlign w:val="center"/>
          </w:tcPr>
          <w:p>
            <w:pPr>
              <w:pStyle w:val="TableContents"/>
              <w:bidi w:val="0"/>
              <w:spacing w:before="0" w:after="283"/>
              <w:jc w:val="right"/>
              <w:rPr>
                <w:sz w:val="20"/>
              </w:rPr>
            </w:pPr>
            <w:r>
              <w:rPr>
                <w:sz w:val="20"/>
              </w:rPr>
              <w:t>12</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7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ÆNDRING I RETSSTILLING ELLER SELSKABSKAPITAL</w:t>
            </w:r>
          </w:p>
        </w:tc>
        <w:tc>
          <w:tcPr>
            <w:tcW w:w="245" w:type="dxa"/>
            <w:tcBorders/>
            <w:vAlign w:val="center"/>
          </w:tcPr>
          <w:p>
            <w:pPr>
              <w:pStyle w:val="TableContents"/>
              <w:bidi w:val="0"/>
              <w:spacing w:before="0" w:after="283"/>
              <w:jc w:val="right"/>
              <w:rPr>
                <w:sz w:val="20"/>
              </w:rPr>
            </w:pPr>
            <w:r>
              <w:rPr>
                <w:sz w:val="20"/>
              </w:rPr>
              <w:t>15</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7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OF LEGAL STATUS OR SHARE CAPITAL</w:t>
            </w:r>
          </w:p>
        </w:tc>
        <w:tc>
          <w:tcPr>
            <w:tcW w:w="245" w:type="dxa"/>
            <w:tcBorders/>
            <w:vAlign w:val="center"/>
          </w:tcPr>
          <w:p>
            <w:pPr>
              <w:pStyle w:val="TableContents"/>
              <w:bidi w:val="0"/>
              <w:spacing w:before="0" w:after="283"/>
              <w:jc w:val="right"/>
              <w:rPr>
                <w:sz w:val="20"/>
              </w:rPr>
            </w:pPr>
            <w:r>
              <w:rPr>
                <w:sz w:val="20"/>
              </w:rPr>
              <w:t>15</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TEGNING AF KAPITALANDELE</w:t>
            </w:r>
          </w:p>
        </w:tc>
        <w:tc>
          <w:tcPr>
            <w:tcW w:w="245" w:type="dxa"/>
            <w:tcBorders/>
            <w:vAlign w:val="center"/>
          </w:tcPr>
          <w:p>
            <w:pPr>
              <w:pStyle w:val="TableContents"/>
              <w:bidi w:val="0"/>
              <w:spacing w:before="0" w:after="283"/>
              <w:jc w:val="right"/>
              <w:rPr>
                <w:sz w:val="20"/>
              </w:rPr>
            </w:pPr>
            <w:r>
              <w:rPr>
                <w:sz w:val="20"/>
              </w:rPr>
              <w:t>17</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SUBSCRIPTION OF SHARES</w:t>
            </w:r>
          </w:p>
        </w:tc>
        <w:tc>
          <w:tcPr>
            <w:tcW w:w="245" w:type="dxa"/>
            <w:tcBorders/>
            <w:vAlign w:val="center"/>
          </w:tcPr>
          <w:p>
            <w:pPr>
              <w:pStyle w:val="TableContents"/>
              <w:bidi w:val="0"/>
              <w:spacing w:before="0" w:after="283"/>
              <w:jc w:val="right"/>
              <w:rPr>
                <w:sz w:val="20"/>
              </w:rPr>
            </w:pPr>
            <w:r>
              <w:rPr>
                <w:sz w:val="20"/>
              </w:rPr>
              <w:t>17</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SKAT</w:t>
            </w:r>
          </w:p>
        </w:tc>
        <w:tc>
          <w:tcPr>
            <w:tcW w:w="245" w:type="dxa"/>
            <w:tcBorders/>
            <w:vAlign w:val="center"/>
          </w:tcPr>
          <w:p>
            <w:pPr>
              <w:pStyle w:val="TableContents"/>
              <w:bidi w:val="0"/>
              <w:spacing w:before="0" w:after="283"/>
              <w:jc w:val="right"/>
              <w:rPr>
                <w:sz w:val="20"/>
              </w:rPr>
            </w:pPr>
            <w:r>
              <w:rPr>
                <w:sz w:val="20"/>
              </w:rPr>
              <w:t>18</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w:t>
            </w:r>
          </w:p>
        </w:tc>
        <w:tc>
          <w:tcPr>
            <w:tcW w:w="245" w:type="dxa"/>
            <w:tcBorders/>
            <w:vAlign w:val="center"/>
          </w:tcPr>
          <w:p>
            <w:pPr>
              <w:pStyle w:val="TableContents"/>
              <w:bidi w:val="0"/>
              <w:spacing w:before="0" w:after="283"/>
              <w:jc w:val="right"/>
              <w:rPr>
                <w:sz w:val="20"/>
              </w:rPr>
            </w:pPr>
            <w:r>
              <w:rPr>
                <w:sz w:val="20"/>
              </w:rPr>
              <w:t>18</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EJERAFTALE</w:t>
            </w:r>
          </w:p>
        </w:tc>
        <w:tc>
          <w:tcPr>
            <w:tcW w:w="245" w:type="dxa"/>
            <w:tcBorders/>
            <w:vAlign w:val="center"/>
          </w:tcPr>
          <w:p>
            <w:pPr>
              <w:pStyle w:val="TableContents"/>
              <w:bidi w:val="0"/>
              <w:spacing w:before="0" w:after="283"/>
              <w:jc w:val="right"/>
              <w:rPr>
                <w:sz w:val="20"/>
              </w:rPr>
            </w:pPr>
            <w:r>
              <w:rPr>
                <w:sz w:val="20"/>
              </w:rPr>
              <w:t>19</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SHAREHOLDERS' AGREEMENT</w:t>
            </w:r>
          </w:p>
        </w:tc>
        <w:tc>
          <w:tcPr>
            <w:tcW w:w="245" w:type="dxa"/>
            <w:tcBorders/>
            <w:vAlign w:val="center"/>
          </w:tcPr>
          <w:p>
            <w:pPr>
              <w:pStyle w:val="TableContents"/>
              <w:bidi w:val="0"/>
              <w:spacing w:before="0" w:after="283"/>
              <w:jc w:val="right"/>
              <w:rPr>
                <w:sz w:val="20"/>
              </w:rPr>
            </w:pPr>
            <w:r>
              <w:rPr>
                <w:sz w:val="20"/>
              </w:rPr>
              <w:t>19</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OVERDRAGELSE AF WARRANTS</w:t>
            </w:r>
          </w:p>
        </w:tc>
        <w:tc>
          <w:tcPr>
            <w:tcW w:w="245" w:type="dxa"/>
            <w:tcBorders/>
            <w:vAlign w:val="center"/>
          </w:tcPr>
          <w:p>
            <w:pPr>
              <w:pStyle w:val="TableContents"/>
              <w:bidi w:val="0"/>
              <w:spacing w:before="0" w:after="283"/>
              <w:jc w:val="right"/>
              <w:rPr>
                <w:sz w:val="20"/>
              </w:rPr>
            </w:pPr>
            <w:r>
              <w:rPr>
                <w:sz w:val="20"/>
              </w:rPr>
              <w:t>20</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11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 OF WARRANTS</w:t>
            </w:r>
          </w:p>
        </w:tc>
        <w:tc>
          <w:tcPr>
            <w:tcW w:w="245" w:type="dxa"/>
            <w:tcBorders/>
            <w:vAlign w:val="center"/>
          </w:tcPr>
          <w:p>
            <w:pPr>
              <w:pStyle w:val="TableContents"/>
              <w:bidi w:val="0"/>
              <w:spacing w:before="0" w:after="283"/>
              <w:jc w:val="right"/>
              <w:rPr>
                <w:sz w:val="20"/>
              </w:rPr>
            </w:pPr>
            <w:r>
              <w:rPr>
                <w:sz w:val="20"/>
              </w:rPr>
              <w:t>20</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12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AFKALD</w:t>
            </w:r>
          </w:p>
        </w:tc>
        <w:tc>
          <w:tcPr>
            <w:tcW w:w="245" w:type="dxa"/>
            <w:tcBorders/>
            <w:vAlign w:val="center"/>
          </w:tcPr>
          <w:p>
            <w:pPr>
              <w:pStyle w:val="TableContents"/>
              <w:bidi w:val="0"/>
              <w:spacing w:before="0" w:after="283"/>
              <w:jc w:val="right"/>
              <w:rPr>
                <w:sz w:val="20"/>
              </w:rPr>
            </w:pPr>
            <w:r>
              <w:rPr>
                <w:sz w:val="20"/>
              </w:rPr>
              <w:t>21</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12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w:t>
            </w:r>
          </w:p>
        </w:tc>
        <w:tc>
          <w:tcPr>
            <w:tcW w:w="245" w:type="dxa"/>
            <w:tcBorders/>
            <w:vAlign w:val="center"/>
          </w:tcPr>
          <w:p>
            <w:pPr>
              <w:pStyle w:val="TableContents"/>
              <w:bidi w:val="0"/>
              <w:spacing w:before="0" w:after="283"/>
              <w:jc w:val="right"/>
              <w:rPr>
                <w:sz w:val="20"/>
              </w:rPr>
            </w:pPr>
            <w:r>
              <w:rPr>
                <w:sz w:val="20"/>
              </w:rPr>
              <w:t>21</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PANTSÆTNING AF KAPITALANDELE</w:t>
            </w:r>
          </w:p>
        </w:tc>
        <w:tc>
          <w:tcPr>
            <w:tcW w:w="245" w:type="dxa"/>
            <w:tcBorders/>
            <w:vAlign w:val="center"/>
          </w:tcPr>
          <w:p>
            <w:pPr>
              <w:pStyle w:val="TableContents"/>
              <w:bidi w:val="0"/>
              <w:spacing w:before="0" w:after="283"/>
              <w:jc w:val="right"/>
              <w:rPr>
                <w:sz w:val="20"/>
              </w:rPr>
            </w:pPr>
            <w:r>
              <w:rPr>
                <w:sz w:val="20"/>
              </w:rPr>
              <w:t>21</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13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PLEDGE OF SHARES</w:t>
            </w:r>
          </w:p>
        </w:tc>
        <w:tc>
          <w:tcPr>
            <w:tcW w:w="245" w:type="dxa"/>
            <w:tcBorders/>
            <w:vAlign w:val="center"/>
          </w:tcPr>
          <w:p>
            <w:pPr>
              <w:pStyle w:val="TableContents"/>
              <w:bidi w:val="0"/>
              <w:spacing w:before="0" w:after="283"/>
              <w:jc w:val="right"/>
              <w:rPr>
                <w:sz w:val="20"/>
              </w:rPr>
            </w:pPr>
            <w:r>
              <w:rPr>
                <w:sz w:val="20"/>
              </w:rPr>
              <w:t>21</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14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FULDMAGT</w:t>
            </w:r>
          </w:p>
        </w:tc>
        <w:tc>
          <w:tcPr>
            <w:tcW w:w="245" w:type="dxa"/>
            <w:tcBorders/>
            <w:vAlign w:val="center"/>
          </w:tcPr>
          <w:p>
            <w:pPr>
              <w:pStyle w:val="TableContents"/>
              <w:bidi w:val="0"/>
              <w:spacing w:before="0" w:after="283"/>
              <w:jc w:val="right"/>
              <w:rPr>
                <w:sz w:val="20"/>
              </w:rPr>
            </w:pPr>
            <w:r>
              <w:rPr>
                <w:sz w:val="20"/>
              </w:rPr>
              <w:t>21</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14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OF ATTORNEY</w:t>
            </w:r>
          </w:p>
        </w:tc>
        <w:tc>
          <w:tcPr>
            <w:tcW w:w="245" w:type="dxa"/>
            <w:tcBorders/>
            <w:vAlign w:val="center"/>
          </w:tcPr>
          <w:p>
            <w:pPr>
              <w:pStyle w:val="TableContents"/>
              <w:bidi w:val="0"/>
              <w:spacing w:before="0" w:after="283"/>
              <w:jc w:val="right"/>
              <w:rPr>
                <w:sz w:val="20"/>
              </w:rPr>
            </w:pPr>
            <w:r>
              <w:rPr>
                <w:sz w:val="20"/>
              </w:rPr>
              <w:t>21</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15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TAVSHEDSPLIGT</w:t>
            </w:r>
          </w:p>
        </w:tc>
        <w:tc>
          <w:tcPr>
            <w:tcW w:w="245" w:type="dxa"/>
            <w:tcBorders/>
            <w:vAlign w:val="center"/>
          </w:tcPr>
          <w:p>
            <w:pPr>
              <w:pStyle w:val="TableContents"/>
              <w:bidi w:val="0"/>
              <w:spacing w:before="0" w:after="283"/>
              <w:jc w:val="right"/>
              <w:rPr>
                <w:sz w:val="20"/>
              </w:rPr>
            </w:pPr>
            <w:r>
              <w:rPr>
                <w:sz w:val="20"/>
              </w:rPr>
              <w:t>22</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15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245" w:type="dxa"/>
            <w:tcBorders/>
            <w:vAlign w:val="center"/>
          </w:tcPr>
          <w:p>
            <w:pPr>
              <w:pStyle w:val="TableContents"/>
              <w:bidi w:val="0"/>
              <w:spacing w:before="0" w:after="283"/>
              <w:jc w:val="right"/>
              <w:rPr>
                <w:sz w:val="20"/>
              </w:rPr>
            </w:pPr>
            <w:r>
              <w:rPr>
                <w:sz w:val="20"/>
              </w:rPr>
              <w:t>22</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16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LOVVALG</w:t>
            </w:r>
          </w:p>
        </w:tc>
        <w:tc>
          <w:tcPr>
            <w:tcW w:w="245" w:type="dxa"/>
            <w:tcBorders/>
            <w:vAlign w:val="center"/>
          </w:tcPr>
          <w:p>
            <w:pPr>
              <w:pStyle w:val="TableContents"/>
              <w:bidi w:val="0"/>
              <w:spacing w:before="0" w:after="283"/>
              <w:jc w:val="right"/>
              <w:rPr>
                <w:sz w:val="20"/>
              </w:rPr>
            </w:pPr>
            <w:r>
              <w:rPr>
                <w:sz w:val="20"/>
              </w:rPr>
              <w:t>22</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45" w:type="dxa"/>
            <w:tcBorders/>
            <w:vAlign w:val="center"/>
          </w:tcPr>
          <w:p>
            <w:pPr>
              <w:pStyle w:val="TableContents"/>
              <w:bidi w:val="0"/>
              <w:spacing w:before="0" w:after="283"/>
              <w:jc w:val="right"/>
              <w:rPr>
                <w:sz w:val="20"/>
              </w:rPr>
            </w:pPr>
            <w:r>
              <w:rPr>
                <w:sz w:val="20"/>
              </w:rPr>
              <w:t>22</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TVISTER</w:t>
            </w:r>
          </w:p>
        </w:tc>
        <w:tc>
          <w:tcPr>
            <w:tcW w:w="245" w:type="dxa"/>
            <w:tcBorders/>
            <w:vAlign w:val="center"/>
          </w:tcPr>
          <w:p>
            <w:pPr>
              <w:pStyle w:val="TableContents"/>
              <w:bidi w:val="0"/>
              <w:spacing w:before="0" w:after="283"/>
              <w:jc w:val="right"/>
              <w:rPr>
                <w:sz w:val="20"/>
              </w:rPr>
            </w:pPr>
            <w:r>
              <w:rPr>
                <w:sz w:val="20"/>
              </w:rPr>
              <w:t>22</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DISPUTES</w:t>
            </w:r>
          </w:p>
        </w:tc>
        <w:tc>
          <w:tcPr>
            <w:tcW w:w="245" w:type="dxa"/>
            <w:tcBorders/>
            <w:vAlign w:val="center"/>
          </w:tcPr>
          <w:p>
            <w:pPr>
              <w:pStyle w:val="TableContents"/>
              <w:bidi w:val="0"/>
              <w:spacing w:before="0" w:after="283"/>
              <w:jc w:val="right"/>
              <w:rPr>
                <w:sz w:val="20"/>
              </w:rPr>
            </w:pPr>
            <w:r>
              <w:rPr>
                <w:sz w:val="20"/>
              </w:rPr>
              <w:t>22</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18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UNDERSKRIFT, HELE AFTALEN OG ÆNDRINGER HERTIL</w:t>
            </w:r>
          </w:p>
        </w:tc>
        <w:tc>
          <w:tcPr>
            <w:tcW w:w="245" w:type="dxa"/>
            <w:tcBorders/>
            <w:vAlign w:val="center"/>
          </w:tcPr>
          <w:p>
            <w:pPr>
              <w:pStyle w:val="TableContents"/>
              <w:bidi w:val="0"/>
              <w:spacing w:before="0" w:after="283"/>
              <w:jc w:val="right"/>
              <w:rPr>
                <w:sz w:val="20"/>
              </w:rPr>
            </w:pPr>
            <w:r>
              <w:rPr>
                <w:sz w:val="20"/>
              </w:rPr>
              <w:t>22</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18 </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SIGNATURES, ENTIRE AGREEMENT, AND AMENDMENTS </w:t>
            </w:r>
          </w:p>
        </w:tc>
        <w:tc>
          <w:tcPr>
            <w:tcW w:w="245" w:type="dxa"/>
            <w:tcBorders/>
            <w:vAlign w:val="center"/>
          </w:tcPr>
          <w:p>
            <w:pPr>
              <w:pStyle w:val="TableContents"/>
              <w:bidi w:val="0"/>
              <w:spacing w:before="0" w:after="283"/>
              <w:jc w:val="right"/>
              <w:rPr>
                <w:sz w:val="20"/>
              </w:rPr>
            </w:pPr>
            <w:r>
              <w:rPr>
                <w:sz w:val="20"/>
              </w:rPr>
              <w:t>22</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5035" w:type="dxa"/>
        <w:jc w:val="left"/>
        <w:tblInd w:w="0" w:type="dxa"/>
        <w:tblLayout w:type="fixed"/>
        <w:tblCellMar>
          <w:top w:w="0" w:type="dxa"/>
          <w:left w:w="0" w:type="dxa"/>
          <w:bottom w:w="0" w:type="dxa"/>
          <w:right w:w="0" w:type="dxa"/>
        </w:tblCellMar>
      </w:tblPr>
      <w:tblGrid>
        <w:gridCol w:w="2075"/>
        <w:gridCol w:w="60"/>
        <w:gridCol w:w="2900"/>
      </w:tblGrid>
      <w:tr>
        <w:trPr/>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BILAGSFORTEGNELSE</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INDEX OF EXHIBITS</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900" w:type="dxa"/>
            <w:tcBorders/>
            <w:vAlign w:val="center"/>
          </w:tcPr>
          <w:p>
            <w:pPr>
              <w:pStyle w:val="TableContents"/>
              <w:bidi w:val="0"/>
              <w:spacing w:before="0" w:after="283"/>
              <w:jc w:val="both"/>
              <w:rPr/>
            </w:pPr>
            <w:r>
              <w:rPr/>
              <w:t> </w:t>
            </w:r>
          </w:p>
        </w:tc>
      </w:tr>
      <w:tr>
        <w:trPr/>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Bilag 1.2: Vedtægter</w:t>
            </w:r>
          </w:p>
        </w:tc>
        <w:tc>
          <w:tcPr>
            <w:tcW w:w="60" w:type="dxa"/>
            <w:tcBorders/>
            <w:vAlign w:val="center"/>
          </w:tcPr>
          <w:p>
            <w:pPr>
              <w:pStyle w:val="TableContents"/>
              <w:bidi w:val="0"/>
              <w:spacing w:before="0" w:after="283"/>
              <w:jc w:val="both"/>
              <w:rPr/>
            </w:pPr>
            <w:r>
              <w:rPr/>
              <w:t> </w:t>
            </w:r>
          </w:p>
        </w:tc>
        <w:tc>
          <w:tcPr>
            <w:tcW w:w="2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1.2: Articles of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
        <w:gridCol w:w="4780"/>
        <w:gridCol w:w="60"/>
        <w:gridCol w:w="148"/>
        <w:gridCol w:w="4925"/>
      </w:tblGrid>
      <w:tr>
        <w:trPr/>
        <w:tc>
          <w:tcPr>
            <w:tcW w:w="507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Der er den 10. september 2017 indgået følgende warrantaftale ("Aftalen") mellem:</w:t>
            </w:r>
          </w:p>
        </w:tc>
        <w:tc>
          <w:tcPr>
            <w:tcW w:w="60" w:type="dxa"/>
            <w:tcBorders/>
            <w:vAlign w:val="center"/>
          </w:tcPr>
          <w:p>
            <w:pPr>
              <w:pStyle w:val="TableContents"/>
              <w:bidi w:val="0"/>
              <w:spacing w:before="0" w:after="283"/>
              <w:jc w:val="both"/>
              <w:rPr/>
            </w:pPr>
            <w:r>
              <w:rPr/>
              <w:t> </w:t>
            </w:r>
          </w:p>
        </w:tc>
        <w:tc>
          <w:tcPr>
            <w:tcW w:w="507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Warrant Agreement (the "Agreement") is entered into on 10 September 2017 between:</w:t>
            </w:r>
          </w:p>
        </w:tc>
      </w:tr>
      <w:tr>
        <w:trPr/>
        <w:tc>
          <w:tcPr>
            <w:tcW w:w="5072"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73" w:type="dxa"/>
            <w:gridSpan w:val="2"/>
            <w:tcBorders/>
            <w:vAlign w:val="center"/>
          </w:tcPr>
          <w:p>
            <w:pPr>
              <w:pStyle w:val="TableContents"/>
              <w:bidi w:val="0"/>
              <w:spacing w:before="0" w:after="283"/>
              <w:jc w:val="both"/>
              <w:rPr/>
            </w:pPr>
            <w:r>
              <w:rPr/>
              <w:t> </w:t>
            </w:r>
          </w:p>
        </w:tc>
      </w:tr>
      <w:tr>
        <w:trPr/>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 </w:t>
            </w:r>
          </w:p>
        </w:tc>
        <w:tc>
          <w:tcPr>
            <w:tcW w:w="4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Evaxion Biotech ApS, CVR-nr. 31 76 28 63, Bredgade 34 E, 1260 København K ("Selskabet")</w:t>
            </w:r>
          </w:p>
        </w:tc>
        <w:tc>
          <w:tcPr>
            <w:tcW w:w="60" w:type="dxa"/>
            <w:tcBorders/>
            <w:vAlign w:val="center"/>
          </w:tcPr>
          <w:p>
            <w:pPr>
              <w:pStyle w:val="TableContents"/>
              <w:bidi w:val="0"/>
              <w:spacing w:before="0" w:after="283"/>
              <w:jc w:val="both"/>
              <w:rPr/>
            </w:pPr>
            <w:r>
              <w:rPr/>
              <w:t> </w:t>
            </w:r>
          </w:p>
        </w:tc>
        <w:tc>
          <w:tcPr>
            <w:tcW w:w="507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Evaxion Biotech ApS, CVR No. 31 76 28 63, Bredgade 34 E, 1260 Copenhagen K (the "Company")</w:t>
            </w:r>
          </w:p>
        </w:tc>
      </w:tr>
      <w:tr>
        <w:trPr/>
        <w:tc>
          <w:tcPr>
            <w:tcW w:w="292" w:type="dxa"/>
            <w:tcBorders/>
            <w:vAlign w:val="center"/>
          </w:tcPr>
          <w:p>
            <w:pPr>
              <w:pStyle w:val="TableContents"/>
              <w:bidi w:val="0"/>
              <w:spacing w:before="0" w:after="283"/>
              <w:jc w:val="both"/>
              <w:rPr/>
            </w:pPr>
            <w:r>
              <w:rPr/>
              <w:t> </w:t>
            </w:r>
          </w:p>
        </w:tc>
        <w:tc>
          <w:tcPr>
            <w:tcW w:w="47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73" w:type="dxa"/>
            <w:gridSpan w:val="2"/>
            <w:tcBorders/>
            <w:vAlign w:val="center"/>
          </w:tcPr>
          <w:p>
            <w:pPr>
              <w:pStyle w:val="TableContents"/>
              <w:bidi w:val="0"/>
              <w:spacing w:before="0" w:after="283"/>
              <w:jc w:val="both"/>
              <w:rPr/>
            </w:pPr>
            <w:r>
              <w:rPr/>
              <w:t> </w:t>
            </w:r>
          </w:p>
        </w:tc>
      </w:tr>
      <w:tr>
        <w:trPr/>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 </w:t>
            </w:r>
          </w:p>
        </w:tc>
        <w:tc>
          <w:tcPr>
            <w:tcW w:w="4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[Navn, adresse]</w:t>
            </w:r>
            <w:r>
              <w:rPr>
                <w:rFonts w:ascii="Times New Roman;Times;Serif" w:hAnsi="Times New Roman;Times;Serif"/>
                <w:sz w:val="20"/>
              </w:rPr>
              <w:t xml:space="preserve"> (the "Warrantindehaveren")</w:t>
            </w:r>
          </w:p>
        </w:tc>
        <w:tc>
          <w:tcPr>
            <w:tcW w:w="60" w:type="dxa"/>
            <w:tcBorders/>
            <w:vAlign w:val="center"/>
          </w:tcPr>
          <w:p>
            <w:pPr>
              <w:pStyle w:val="TableContents"/>
              <w:bidi w:val="0"/>
              <w:spacing w:before="0" w:after="283"/>
              <w:jc w:val="both"/>
              <w:rPr/>
            </w:pPr>
            <w:r>
              <w:rPr/>
              <w:t> </w:t>
            </w:r>
          </w:p>
        </w:tc>
        <w:tc>
          <w:tcPr>
            <w:tcW w:w="507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[Name, address]</w:t>
            </w:r>
            <w:r>
              <w:rPr>
                <w:rFonts w:ascii="Times New Roman;Times;Serif" w:hAnsi="Times New Roman;Times;Serif"/>
                <w:sz w:val="20"/>
              </w:rPr>
              <w:t> (the "Warrantee")</w:t>
            </w:r>
          </w:p>
        </w:tc>
      </w:tr>
      <w:tr>
        <w:trPr/>
        <w:tc>
          <w:tcPr>
            <w:tcW w:w="292" w:type="dxa"/>
            <w:tcBorders/>
            <w:vAlign w:val="center"/>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73" w:type="dxa"/>
            <w:gridSpan w:val="2"/>
            <w:tcBorders/>
            <w:vAlign w:val="center"/>
          </w:tcPr>
          <w:p>
            <w:pPr>
              <w:pStyle w:val="TableContents"/>
              <w:bidi w:val="0"/>
              <w:spacing w:before="0" w:after="283"/>
              <w:jc w:val="both"/>
              <w:rPr/>
            </w:pPr>
            <w:r>
              <w:rPr/>
              <w:t> </w:t>
            </w:r>
          </w:p>
        </w:tc>
      </w:tr>
      <w:tr>
        <w:trPr/>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og Warrantindehaveren samlet benævnt "Parterne" og separat tillige en "Part"</w:t>
            </w:r>
          </w:p>
        </w:tc>
        <w:tc>
          <w:tcPr>
            <w:tcW w:w="6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25" w:type="dxa"/>
            <w:tcBorders/>
            <w:vAlign w:val="center"/>
          </w:tcPr>
          <w:p>
            <w:pPr>
              <w:pStyle w:val="TableContents"/>
              <w:bidi w:val="0"/>
              <w:spacing w:before="0" w:after="283"/>
              <w:jc w:val="both"/>
              <w:rPr/>
            </w:pPr>
            <w:r>
              <w:rPr/>
              <w:t>the Company and the Warrantee hereinafter collectively referred to as the "Parties" and separately as a "Party"</w:t>
            </w:r>
          </w:p>
        </w:tc>
      </w:tr>
      <w:tr>
        <w:trPr/>
        <w:tc>
          <w:tcPr>
            <w:tcW w:w="292" w:type="dxa"/>
            <w:tcBorders/>
            <w:vAlign w:val="center"/>
          </w:tcPr>
          <w:p>
            <w:pPr>
              <w:pStyle w:val="TableContents"/>
              <w:bidi w:val="0"/>
              <w:spacing w:before="0" w:after="283"/>
              <w:jc w:val="both"/>
              <w:rPr/>
            </w:pPr>
            <w:r>
              <w:rPr/>
              <w:t> </w:t>
            </w:r>
          </w:p>
        </w:tc>
        <w:tc>
          <w:tcPr>
            <w:tcW w:w="47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73" w:type="dxa"/>
            <w:gridSpan w:val="2"/>
            <w:tcBorders/>
            <w:vAlign w:val="center"/>
          </w:tcPr>
          <w:p>
            <w:pPr>
              <w:pStyle w:val="TableContents"/>
              <w:bidi w:val="0"/>
              <w:spacing w:before="0" w:after="283"/>
              <w:jc w:val="both"/>
              <w:rPr/>
            </w:pPr>
            <w:r>
              <w:rPr/>
              <w:t> </w:t>
            </w:r>
          </w:p>
        </w:tc>
      </w:tr>
      <w:tr>
        <w:trPr/>
        <w:tc>
          <w:tcPr>
            <w:tcW w:w="507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EFTERSOM</w:t>
            </w:r>
          </w:p>
        </w:tc>
        <w:tc>
          <w:tcPr>
            <w:tcW w:w="60" w:type="dxa"/>
            <w:tcBorders/>
            <w:vAlign w:val="center"/>
          </w:tcPr>
          <w:p>
            <w:pPr>
              <w:pStyle w:val="TableContents"/>
              <w:bidi w:val="0"/>
              <w:spacing w:before="0" w:after="283"/>
              <w:jc w:val="both"/>
              <w:rPr/>
            </w:pPr>
            <w:r>
              <w:rPr/>
              <w:t> </w:t>
            </w:r>
          </w:p>
        </w:tc>
        <w:tc>
          <w:tcPr>
            <w:tcW w:w="507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WHEREAS</w:t>
            </w:r>
          </w:p>
        </w:tc>
      </w:tr>
      <w:tr>
        <w:trPr/>
        <w:tc>
          <w:tcPr>
            <w:tcW w:w="5072"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73" w:type="dxa"/>
            <w:gridSpan w:val="2"/>
            <w:tcBorders/>
            <w:vAlign w:val="center"/>
          </w:tcPr>
          <w:p>
            <w:pPr>
              <w:pStyle w:val="TableContents"/>
              <w:bidi w:val="0"/>
              <w:spacing w:before="0" w:after="283"/>
              <w:jc w:val="both"/>
              <w:rPr/>
            </w:pPr>
            <w:r>
              <w:rPr/>
              <w:t> </w:t>
            </w:r>
          </w:p>
        </w:tc>
      </w:tr>
      <w:tr>
        <w:trPr/>
        <w:tc>
          <w:tcPr>
            <w:tcW w:w="507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 er ansat som CEO i selskabet med virkning fra den 1. juli 2017 ("Ansættelsesdatoen")</w:t>
            </w:r>
          </w:p>
        </w:tc>
        <w:tc>
          <w:tcPr>
            <w:tcW w:w="60" w:type="dxa"/>
            <w:tcBorders/>
            <w:vAlign w:val="center"/>
          </w:tcPr>
          <w:p>
            <w:pPr>
              <w:pStyle w:val="TableContents"/>
              <w:bidi w:val="0"/>
              <w:spacing w:before="0" w:after="283"/>
              <w:jc w:val="both"/>
              <w:rPr/>
            </w:pPr>
            <w:r>
              <w:rPr/>
              <w:t> </w:t>
            </w:r>
          </w:p>
        </w:tc>
        <w:tc>
          <w:tcPr>
            <w:tcW w:w="507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Warrantee is employed by the Company as CEO effective as of 1 July 2017 (the "Employment Date")</w:t>
            </w:r>
          </w:p>
        </w:tc>
      </w:tr>
      <w:tr>
        <w:trPr/>
        <w:tc>
          <w:tcPr>
            <w:tcW w:w="5072"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73" w:type="dxa"/>
            <w:gridSpan w:val="2"/>
            <w:tcBorders/>
            <w:vAlign w:val="center"/>
          </w:tcPr>
          <w:p>
            <w:pPr>
              <w:pStyle w:val="TableContents"/>
              <w:bidi w:val="0"/>
              <w:spacing w:before="0" w:after="283"/>
              <w:jc w:val="both"/>
              <w:rPr/>
            </w:pPr>
            <w:r>
              <w:rPr/>
              <w:t> </w:t>
            </w:r>
          </w:p>
        </w:tc>
      </w:tr>
      <w:tr>
        <w:trPr/>
        <w:tc>
          <w:tcPr>
            <w:tcW w:w="507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ønsker at motivere Warrantindehaveren ved at tildele et vist antal warrants til Warrantindehaveren.</w:t>
            </w:r>
          </w:p>
        </w:tc>
        <w:tc>
          <w:tcPr>
            <w:tcW w:w="60" w:type="dxa"/>
            <w:tcBorders/>
            <w:vAlign w:val="center"/>
          </w:tcPr>
          <w:p>
            <w:pPr>
              <w:pStyle w:val="TableContents"/>
              <w:bidi w:val="0"/>
              <w:spacing w:before="0" w:after="283"/>
              <w:jc w:val="both"/>
              <w:rPr/>
            </w:pPr>
            <w:r>
              <w:rPr/>
              <w:t> </w:t>
            </w:r>
          </w:p>
        </w:tc>
        <w:tc>
          <w:tcPr>
            <w:tcW w:w="507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wishes to incentivise the Warrantee by granting certain warrants to the Warrantee.</w:t>
            </w:r>
          </w:p>
        </w:tc>
      </w:tr>
      <w:tr>
        <w:trPr/>
        <w:tc>
          <w:tcPr>
            <w:tcW w:w="5072"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73" w:type="dxa"/>
            <w:gridSpan w:val="2"/>
            <w:tcBorders/>
            <w:vAlign w:val="center"/>
          </w:tcPr>
          <w:p>
            <w:pPr>
              <w:pStyle w:val="TableContents"/>
              <w:bidi w:val="0"/>
              <w:spacing w:before="0" w:after="283"/>
              <w:jc w:val="both"/>
              <w:rPr/>
            </w:pPr>
            <w:r>
              <w:rPr/>
              <w:t> </w:t>
            </w:r>
          </w:p>
        </w:tc>
      </w:tr>
      <w:tr>
        <w:trPr/>
        <w:tc>
          <w:tcPr>
            <w:tcW w:w="507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HAR PARTERNE VEDTAGET FØLGENDE:</w:t>
            </w:r>
          </w:p>
        </w:tc>
        <w:tc>
          <w:tcPr>
            <w:tcW w:w="60" w:type="dxa"/>
            <w:tcBorders/>
            <w:vAlign w:val="center"/>
          </w:tcPr>
          <w:p>
            <w:pPr>
              <w:pStyle w:val="TableContents"/>
              <w:bidi w:val="0"/>
              <w:spacing w:before="0" w:after="283"/>
              <w:jc w:val="both"/>
              <w:rPr/>
            </w:pPr>
            <w:r>
              <w:rPr/>
              <w:t> </w:t>
            </w:r>
          </w:p>
        </w:tc>
        <w:tc>
          <w:tcPr>
            <w:tcW w:w="507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NOW IT IS HEREBY AGREED AS FOLLOWS:</w:t>
            </w:r>
          </w:p>
        </w:tc>
      </w:tr>
      <w:tr>
        <w:trPr/>
        <w:tc>
          <w:tcPr>
            <w:tcW w:w="5072"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73" w:type="dxa"/>
            <w:gridSpan w:val="2"/>
            <w:tcBorders/>
            <w:vAlign w:val="center"/>
          </w:tcPr>
          <w:p>
            <w:pPr>
              <w:pStyle w:val="TableContents"/>
              <w:bidi w:val="0"/>
              <w:spacing w:before="0" w:after="283"/>
              <w:jc w:val="both"/>
              <w:rPr/>
            </w:pPr>
            <w:r>
              <w:rPr/>
              <w:t> </w:t>
            </w:r>
          </w:p>
        </w:tc>
      </w:tr>
      <w:tr>
        <w:trPr/>
        <w:tc>
          <w:tcPr>
            <w:tcW w:w="29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w:t>
            </w:r>
          </w:p>
        </w:tc>
        <w:tc>
          <w:tcPr>
            <w:tcW w:w="47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BAGGRUND OG OMFANG</w:t>
            </w:r>
          </w:p>
        </w:tc>
        <w:tc>
          <w:tcPr>
            <w:tcW w:w="6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w:t>
            </w:r>
          </w:p>
        </w:tc>
        <w:tc>
          <w:tcPr>
            <w:tcW w:w="49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BACKGROUND AND SCOPE</w:t>
            </w:r>
          </w:p>
        </w:tc>
      </w:tr>
      <w:tr>
        <w:trPr/>
        <w:tc>
          <w:tcPr>
            <w:tcW w:w="292" w:type="dxa"/>
            <w:tcBorders/>
            <w:vAlign w:val="center"/>
          </w:tcPr>
          <w:p>
            <w:pPr>
              <w:pStyle w:val="TableContents"/>
              <w:bidi w:val="0"/>
              <w:spacing w:before="0" w:after="283"/>
              <w:jc w:val="both"/>
              <w:rPr/>
            </w:pPr>
            <w:r>
              <w:rPr/>
              <w:t> </w:t>
            </w:r>
          </w:p>
        </w:tc>
        <w:tc>
          <w:tcPr>
            <w:tcW w:w="47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73" w:type="dxa"/>
            <w:gridSpan w:val="2"/>
            <w:tcBorders/>
            <w:vAlign w:val="center"/>
          </w:tcPr>
          <w:p>
            <w:pPr>
              <w:pStyle w:val="TableContents"/>
              <w:bidi w:val="0"/>
              <w:spacing w:before="0" w:after="283"/>
              <w:jc w:val="both"/>
              <w:rPr/>
            </w:pPr>
            <w:r>
              <w:rPr/>
              <w:t> </w:t>
            </w:r>
          </w:p>
        </w:tc>
      </w:tr>
      <w:tr>
        <w:trPr/>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4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Formålet med denne Aftale er at tildele Warrantindehaveren warrants i Selskabet for at sikre, at Selskabet og Warrantindehaveren har fælles interesser, og at begge Parter medvirker til at skabe den bedst mulige værdiudvikling i Selskabet.</w:t>
            </w:r>
          </w:p>
        </w:tc>
        <w:tc>
          <w:tcPr>
            <w:tcW w:w="60" w:type="dxa"/>
            <w:tcBorders/>
            <w:vAlign w:val="center"/>
          </w:tcPr>
          <w:p>
            <w:pPr>
              <w:pStyle w:val="TableContents"/>
              <w:bidi w:val="0"/>
              <w:spacing w:before="0" w:after="283"/>
              <w:jc w:val="both"/>
              <w:rPr/>
            </w:pPr>
            <w:r>
              <w:rPr/>
              <w:t> </w:t>
            </w:r>
          </w:p>
        </w:tc>
        <w:tc>
          <w:tcPr>
            <w:tcW w:w="507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purpose of this Agreement is to grant the Warrantee warrants in the Company in order to ensure that the Company and the Warrantee have aligned interests and that both Parties are working to ensure that the value of the Company develops in the best possible way.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4761"/>
        <w:gridCol w:w="60"/>
        <w:gridCol w:w="300"/>
        <w:gridCol w:w="4749"/>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4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Selskabets vedtægter er vedlagt denne Aftale som </w:t>
            </w:r>
            <w:r>
              <w:rPr>
                <w:rFonts w:ascii="Times New Roman;Times;Serif" w:hAnsi="Times New Roman;Times;Serif"/>
                <w:sz w:val="20"/>
                <w:u w:val="single"/>
              </w:rPr>
              <w:t>bilag 1.2</w:t>
            </w:r>
            <w:r>
              <w:rPr>
                <w:rFonts w:ascii="Times New Roman;Times;Serif" w:hAnsi="Times New Roman;Times;Serif"/>
                <w:sz w:val="20"/>
              </w:rPr>
              <w:t>. Warrantindehaveren accepterer hermed alle fremtidige ændringer i Selskabets vedtægter.</w:t>
            </w:r>
          </w:p>
        </w:tc>
        <w:tc>
          <w:tcPr>
            <w:tcW w:w="60" w:type="dxa"/>
            <w:tcBorders/>
            <w:vAlign w:val="center"/>
          </w:tcPr>
          <w:p>
            <w:pPr>
              <w:pStyle w:val="TableContents"/>
              <w:bidi w:val="0"/>
              <w:spacing w:before="0" w:after="283"/>
              <w:jc w:val="both"/>
              <w:rPr/>
            </w:pPr>
            <w:r>
              <w:rPr/>
              <w:t> </w:t>
            </w:r>
          </w:p>
        </w:tc>
        <w:tc>
          <w:tcPr>
            <w:tcW w:w="504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Company's articles of association are attached hereto as </w:t>
            </w:r>
            <w:r>
              <w:rPr>
                <w:rFonts w:ascii="Times New Roman;Times;Serif" w:hAnsi="Times New Roman;Times;Serif"/>
                <w:sz w:val="20"/>
                <w:u w:val="single"/>
              </w:rPr>
              <w:t>Exhibit 1.2</w:t>
            </w:r>
            <w:r>
              <w:rPr>
                <w:rFonts w:ascii="Times New Roman;Times;Serif" w:hAnsi="Times New Roman;Times;Serif"/>
                <w:sz w:val="20"/>
              </w:rPr>
              <w:t>. The Warrantee hereby accepts all future changes to the Company's articles of association.</w:t>
            </w:r>
          </w:p>
        </w:tc>
      </w:tr>
      <w:tr>
        <w:trPr/>
        <w:tc>
          <w:tcPr>
            <w:tcW w:w="335"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49" w:type="dxa"/>
            <w:gridSpan w:val="2"/>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w:t>
            </w:r>
          </w:p>
        </w:tc>
        <w:tc>
          <w:tcPr>
            <w:tcW w:w="476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TILDELING AF WARRANTS</w:t>
            </w:r>
          </w:p>
        </w:tc>
        <w:tc>
          <w:tcPr>
            <w:tcW w:w="60" w:type="dxa"/>
            <w:tcBorders/>
            <w:vAlign w:val="center"/>
          </w:tcPr>
          <w:p>
            <w:pPr>
              <w:pStyle w:val="TableContents"/>
              <w:bidi w:val="0"/>
              <w:spacing w:before="0" w:after="283"/>
              <w:jc w:val="both"/>
              <w:rPr/>
            </w:pPr>
            <w:r>
              <w:rPr/>
              <w:t> </w:t>
            </w:r>
          </w:p>
        </w:tc>
        <w:tc>
          <w:tcPr>
            <w:tcW w:w="3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w:t>
            </w:r>
          </w:p>
        </w:tc>
        <w:tc>
          <w:tcPr>
            <w:tcW w:w="474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GRANT OF WARRANTS</w:t>
            </w:r>
          </w:p>
        </w:tc>
      </w:tr>
      <w:tr>
        <w:trPr/>
        <w:tc>
          <w:tcPr>
            <w:tcW w:w="335" w:type="dxa"/>
            <w:tcBorders/>
            <w:vAlign w:val="center"/>
          </w:tcPr>
          <w:p>
            <w:pPr>
              <w:pStyle w:val="TableContents"/>
              <w:bidi w:val="0"/>
              <w:spacing w:before="0" w:after="283"/>
              <w:jc w:val="both"/>
              <w:rPr/>
            </w:pPr>
            <w:r>
              <w:rPr/>
              <w:t> </w:t>
            </w:r>
          </w:p>
        </w:tc>
        <w:tc>
          <w:tcPr>
            <w:tcW w:w="47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00" w:type="dxa"/>
            <w:tcBorders/>
            <w:vAlign w:val="center"/>
          </w:tcPr>
          <w:p>
            <w:pPr>
              <w:pStyle w:val="TableContents"/>
              <w:bidi w:val="0"/>
              <w:spacing w:before="0" w:after="283"/>
              <w:jc w:val="both"/>
              <w:rPr/>
            </w:pPr>
            <w:r>
              <w:rPr/>
              <w:t> </w:t>
            </w:r>
          </w:p>
        </w:tc>
        <w:tc>
          <w:tcPr>
            <w:tcW w:w="4749"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w:t>
            </w:r>
          </w:p>
        </w:tc>
        <w:tc>
          <w:tcPr>
            <w:tcW w:w="4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betingelserne i denne Aftale udsteder Selskabet hermed, og Warrantindehaveren modtager 617.184 warrants i Selskabet til Warrantindehaveren ("Warrants").</w:t>
            </w:r>
          </w:p>
        </w:tc>
        <w:tc>
          <w:tcPr>
            <w:tcW w:w="60" w:type="dxa"/>
            <w:tcBorders/>
            <w:vAlign w:val="center"/>
          </w:tcPr>
          <w:p>
            <w:pPr>
              <w:pStyle w:val="TableContents"/>
              <w:bidi w:val="0"/>
              <w:spacing w:before="0" w:after="283"/>
              <w:jc w:val="both"/>
              <w:rPr/>
            </w:pPr>
            <w:r>
              <w:rPr/>
              <w:t> </w:t>
            </w:r>
          </w:p>
        </w:tc>
        <w:tc>
          <w:tcPr>
            <w:tcW w:w="504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terms and conditions set out in this Agreement, the Company hereby issues and the Warrantee receives 617,184 warrants in the Company to the Warrantee (the "Warrants").</w:t>
            </w:r>
          </w:p>
        </w:tc>
      </w:tr>
      <w:tr>
        <w:trPr/>
        <w:tc>
          <w:tcPr>
            <w:tcW w:w="335" w:type="dxa"/>
            <w:tcBorders/>
            <w:vAlign w:val="center"/>
          </w:tcPr>
          <w:p>
            <w:pPr>
              <w:pStyle w:val="TableContents"/>
              <w:bidi w:val="0"/>
              <w:spacing w:before="0" w:after="283"/>
              <w:jc w:val="both"/>
              <w:rPr/>
            </w:pPr>
            <w:r>
              <w:rPr/>
              <w:t> </w:t>
            </w:r>
          </w:p>
        </w:tc>
        <w:tc>
          <w:tcPr>
            <w:tcW w:w="47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49" w:type="dxa"/>
            <w:gridSpan w:val="2"/>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w:t>
            </w:r>
          </w:p>
        </w:tc>
        <w:tc>
          <w:tcPr>
            <w:tcW w:w="4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Hver Warrant giver Warrantindehaveren ret, men ikke pligt, til at tegne én kapitalandel à nominelt kr. 1 i Selskabet.</w:t>
            </w:r>
          </w:p>
        </w:tc>
        <w:tc>
          <w:tcPr>
            <w:tcW w:w="60" w:type="dxa"/>
            <w:tcBorders/>
            <w:vAlign w:val="center"/>
          </w:tcPr>
          <w:p>
            <w:pPr>
              <w:pStyle w:val="TableContents"/>
              <w:bidi w:val="0"/>
              <w:spacing w:before="0" w:after="283"/>
              <w:jc w:val="both"/>
              <w:rPr/>
            </w:pPr>
            <w:r>
              <w:rPr/>
              <w:t> </w:t>
            </w:r>
          </w:p>
        </w:tc>
        <w:tc>
          <w:tcPr>
            <w:tcW w:w="504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Warrant shall provide the Warrantee with a right, but not an obligation, to subscribe for one share with a nominal value of DKK 1 in the Company.</w:t>
            </w:r>
          </w:p>
        </w:tc>
      </w:tr>
      <w:tr>
        <w:trPr/>
        <w:tc>
          <w:tcPr>
            <w:tcW w:w="335" w:type="dxa"/>
            <w:tcBorders/>
            <w:vAlign w:val="center"/>
          </w:tcPr>
          <w:p>
            <w:pPr>
              <w:pStyle w:val="TableContents"/>
              <w:bidi w:val="0"/>
              <w:spacing w:before="0" w:after="283"/>
              <w:jc w:val="both"/>
              <w:rPr/>
            </w:pPr>
            <w:r>
              <w:rPr/>
              <w:t> </w:t>
            </w:r>
          </w:p>
        </w:tc>
        <w:tc>
          <w:tcPr>
            <w:tcW w:w="47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49" w:type="dxa"/>
            <w:gridSpan w:val="2"/>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2.3 </w:t>
            </w:r>
          </w:p>
        </w:tc>
        <w:tc>
          <w:tcPr>
            <w:tcW w:w="4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tildeles vederlagsfrit.</w:t>
            </w:r>
          </w:p>
        </w:tc>
        <w:tc>
          <w:tcPr>
            <w:tcW w:w="60" w:type="dxa"/>
            <w:tcBorders/>
            <w:vAlign w:val="center"/>
          </w:tcPr>
          <w:p>
            <w:pPr>
              <w:pStyle w:val="TableContents"/>
              <w:bidi w:val="0"/>
              <w:spacing w:before="0" w:after="283"/>
              <w:jc w:val="both"/>
              <w:rPr/>
            </w:pPr>
            <w:r>
              <w:rPr/>
              <w:t> </w:t>
            </w:r>
          </w:p>
        </w:tc>
        <w:tc>
          <w:tcPr>
            <w:tcW w:w="504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are granted free of charge.</w:t>
            </w:r>
          </w:p>
        </w:tc>
      </w:tr>
      <w:tr>
        <w:trPr/>
        <w:tc>
          <w:tcPr>
            <w:tcW w:w="335" w:type="dxa"/>
            <w:tcBorders/>
            <w:vAlign w:val="center"/>
          </w:tcPr>
          <w:p>
            <w:pPr>
              <w:pStyle w:val="TableContents"/>
              <w:bidi w:val="0"/>
              <w:spacing w:before="0" w:after="283"/>
              <w:jc w:val="both"/>
              <w:rPr/>
            </w:pPr>
            <w:r>
              <w:rPr/>
              <w:t> </w:t>
            </w:r>
          </w:p>
        </w:tc>
        <w:tc>
          <w:tcPr>
            <w:tcW w:w="47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49" w:type="dxa"/>
            <w:gridSpan w:val="2"/>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w:t>
            </w:r>
          </w:p>
        </w:tc>
        <w:tc>
          <w:tcPr>
            <w:tcW w:w="4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giver ikke Warrantindehaveren kapital- ejerrettigheder, som f.eks. fondskapitalandele, eller fortegningsret i tilfælde af en kapitalforhøjelse i Selskabet.</w:t>
            </w:r>
          </w:p>
        </w:tc>
        <w:tc>
          <w:tcPr>
            <w:tcW w:w="60" w:type="dxa"/>
            <w:tcBorders/>
            <w:vAlign w:val="center"/>
          </w:tcPr>
          <w:p>
            <w:pPr>
              <w:pStyle w:val="TableContents"/>
              <w:bidi w:val="0"/>
              <w:spacing w:before="0" w:after="283"/>
              <w:jc w:val="both"/>
              <w:rPr/>
            </w:pPr>
            <w:r>
              <w:rPr/>
              <w:t> </w:t>
            </w:r>
          </w:p>
        </w:tc>
        <w:tc>
          <w:tcPr>
            <w:tcW w:w="504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shall not entitle the Warrantee to any shareholder rights such as bonus shares or pre-emption rights in the event of a capital increase of the Company.</w:t>
            </w:r>
          </w:p>
        </w:tc>
      </w:tr>
      <w:tr>
        <w:trPr/>
        <w:tc>
          <w:tcPr>
            <w:tcW w:w="335" w:type="dxa"/>
            <w:tcBorders/>
            <w:vAlign w:val="center"/>
          </w:tcPr>
          <w:p>
            <w:pPr>
              <w:pStyle w:val="TableContents"/>
              <w:bidi w:val="0"/>
              <w:spacing w:before="0" w:after="283"/>
              <w:jc w:val="both"/>
              <w:rPr/>
            </w:pPr>
            <w:r>
              <w:rPr/>
              <w:t> </w:t>
            </w:r>
          </w:p>
        </w:tc>
        <w:tc>
          <w:tcPr>
            <w:tcW w:w="47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49" w:type="dxa"/>
            <w:gridSpan w:val="2"/>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w:t>
            </w:r>
          </w:p>
        </w:tc>
        <w:tc>
          <w:tcPr>
            <w:tcW w:w="4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er forpligtet til at føre en fortegnelse over udstedte Warrants, som skal opbevares sammen med Selskabets ejerbog.</w:t>
            </w:r>
          </w:p>
        </w:tc>
        <w:tc>
          <w:tcPr>
            <w:tcW w:w="60" w:type="dxa"/>
            <w:tcBorders/>
            <w:vAlign w:val="center"/>
          </w:tcPr>
          <w:p>
            <w:pPr>
              <w:pStyle w:val="TableContents"/>
              <w:bidi w:val="0"/>
              <w:spacing w:before="0" w:after="283"/>
              <w:jc w:val="both"/>
              <w:rPr/>
            </w:pPr>
            <w:r>
              <w:rPr/>
              <w:t> </w:t>
            </w:r>
          </w:p>
        </w:tc>
        <w:tc>
          <w:tcPr>
            <w:tcW w:w="504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undertakes to keep and maintain a register of issued Warrants to be kept in connection with the Company's share register.</w:t>
            </w:r>
          </w:p>
        </w:tc>
      </w:tr>
      <w:tr>
        <w:trPr/>
        <w:tc>
          <w:tcPr>
            <w:tcW w:w="335" w:type="dxa"/>
            <w:tcBorders/>
            <w:vAlign w:val="center"/>
          </w:tcPr>
          <w:p>
            <w:pPr>
              <w:pStyle w:val="TableContents"/>
              <w:bidi w:val="0"/>
              <w:spacing w:before="0" w:after="283"/>
              <w:jc w:val="both"/>
              <w:rPr/>
            </w:pPr>
            <w:r>
              <w:rPr/>
              <w:t> </w:t>
            </w:r>
          </w:p>
        </w:tc>
        <w:tc>
          <w:tcPr>
            <w:tcW w:w="47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49" w:type="dxa"/>
            <w:gridSpan w:val="2"/>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w:t>
            </w:r>
          </w:p>
        </w:tc>
        <w:tc>
          <w:tcPr>
            <w:tcW w:w="476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TEGNINGSRET</w:t>
            </w:r>
          </w:p>
        </w:tc>
        <w:tc>
          <w:tcPr>
            <w:tcW w:w="60" w:type="dxa"/>
            <w:tcBorders/>
            <w:vAlign w:val="center"/>
          </w:tcPr>
          <w:p>
            <w:pPr>
              <w:pStyle w:val="TableContents"/>
              <w:bidi w:val="0"/>
              <w:spacing w:before="0" w:after="283"/>
              <w:jc w:val="both"/>
              <w:rPr/>
            </w:pPr>
            <w:r>
              <w:rPr/>
              <w:t> </w:t>
            </w:r>
          </w:p>
        </w:tc>
        <w:tc>
          <w:tcPr>
            <w:tcW w:w="3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w:t>
            </w:r>
          </w:p>
        </w:tc>
        <w:tc>
          <w:tcPr>
            <w:tcW w:w="474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SUBSCRIPTION PRICE</w:t>
            </w:r>
          </w:p>
        </w:tc>
      </w:tr>
      <w:tr>
        <w:trPr/>
        <w:tc>
          <w:tcPr>
            <w:tcW w:w="335" w:type="dxa"/>
            <w:tcBorders/>
            <w:vAlign w:val="center"/>
          </w:tcPr>
          <w:p>
            <w:pPr>
              <w:pStyle w:val="TableContents"/>
              <w:bidi w:val="0"/>
              <w:spacing w:before="0" w:after="283"/>
              <w:jc w:val="both"/>
              <w:rPr/>
            </w:pPr>
            <w:r>
              <w:rPr/>
              <w:t> </w:t>
            </w:r>
          </w:p>
        </w:tc>
        <w:tc>
          <w:tcPr>
            <w:tcW w:w="47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00" w:type="dxa"/>
            <w:tcBorders/>
            <w:vAlign w:val="center"/>
          </w:tcPr>
          <w:p>
            <w:pPr>
              <w:pStyle w:val="TableContents"/>
              <w:bidi w:val="0"/>
              <w:spacing w:before="0" w:after="283"/>
              <w:jc w:val="both"/>
              <w:rPr/>
            </w:pPr>
            <w:r>
              <w:rPr/>
              <w:t> </w:t>
            </w:r>
          </w:p>
        </w:tc>
        <w:tc>
          <w:tcPr>
            <w:tcW w:w="4749"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w:t>
            </w:r>
          </w:p>
        </w:tc>
        <w:tc>
          <w:tcPr>
            <w:tcW w:w="4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Hver Warrant giver Warrantindehaveren ret til at tegne én kapitalandel à nominelt kr. 1 i Selskabet til en pris af kr. 1 ("Tegningsprisen").</w:t>
            </w:r>
          </w:p>
        </w:tc>
        <w:tc>
          <w:tcPr>
            <w:tcW w:w="60" w:type="dxa"/>
            <w:tcBorders/>
            <w:vAlign w:val="center"/>
          </w:tcPr>
          <w:p>
            <w:pPr>
              <w:pStyle w:val="TableContents"/>
              <w:bidi w:val="0"/>
              <w:spacing w:before="0" w:after="283"/>
              <w:jc w:val="both"/>
              <w:rPr/>
            </w:pPr>
            <w:r>
              <w:rPr/>
              <w:t> </w:t>
            </w:r>
          </w:p>
        </w:tc>
        <w:tc>
          <w:tcPr>
            <w:tcW w:w="504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Warrant gives the Warrantee the right to subscribe for one share with a nominal value of DKK 1 in the Company at a price of DKK 1 (the "Subscription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4992"/>
        <w:gridCol w:w="60"/>
        <w:gridCol w:w="325"/>
        <w:gridCol w:w="4538"/>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w:t>
            </w:r>
          </w:p>
        </w:tc>
        <w:tc>
          <w:tcPr>
            <w:tcW w:w="499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UDNYTTELSE AF WARRANTS</w:t>
            </w:r>
          </w:p>
        </w:tc>
        <w:tc>
          <w:tcPr>
            <w:tcW w:w="60" w:type="dxa"/>
            <w:tcBorders/>
            <w:vAlign w:val="center"/>
          </w:tcPr>
          <w:p>
            <w:pPr>
              <w:pStyle w:val="TableContents"/>
              <w:bidi w:val="0"/>
              <w:spacing w:before="0" w:after="283"/>
              <w:jc w:val="both"/>
              <w:rPr/>
            </w:pPr>
            <w:r>
              <w:rPr/>
              <w:t> </w:t>
            </w:r>
          </w:p>
        </w:tc>
        <w:tc>
          <w:tcPr>
            <w:tcW w:w="3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w:t>
            </w:r>
          </w:p>
        </w:tc>
        <w:tc>
          <w:tcPr>
            <w:tcW w:w="453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EXERCISE OF WARRANTS</w:t>
            </w:r>
          </w:p>
        </w:tc>
      </w:tr>
      <w:tr>
        <w:trPr/>
        <w:tc>
          <w:tcPr>
            <w:tcW w:w="290" w:type="dxa"/>
            <w:tcBorders/>
            <w:vAlign w:val="center"/>
          </w:tcPr>
          <w:p>
            <w:pPr>
              <w:pStyle w:val="TableContents"/>
              <w:bidi w:val="0"/>
              <w:spacing w:before="0" w:after="283"/>
              <w:jc w:val="both"/>
              <w:rPr/>
            </w:pPr>
            <w:r>
              <w:rPr/>
              <w:t> </w:t>
            </w:r>
          </w:p>
        </w:tc>
        <w:tc>
          <w:tcPr>
            <w:tcW w:w="499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5" w:type="dxa"/>
            <w:tcBorders/>
            <w:vAlign w:val="center"/>
          </w:tcPr>
          <w:p>
            <w:pPr>
              <w:pStyle w:val="TableContents"/>
              <w:bidi w:val="0"/>
              <w:spacing w:before="0" w:after="283"/>
              <w:jc w:val="both"/>
              <w:rPr/>
            </w:pPr>
            <w:r>
              <w:rPr/>
              <w:t> </w:t>
            </w:r>
          </w:p>
        </w:tc>
        <w:tc>
          <w:tcPr>
            <w:tcW w:w="4538"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4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 kan udnytte alle eller en del af Warrants (i) i forbindelse med en Exit (se punkt 4.2) eller (ii) på et tidspunkt, der fastsættes af Bestyrelsen (et "Vindue").</w:t>
            </w:r>
          </w:p>
        </w:tc>
        <w:tc>
          <w:tcPr>
            <w:tcW w:w="60" w:type="dxa"/>
            <w:tcBorders/>
            <w:vAlign w:val="center"/>
          </w:tcPr>
          <w:p>
            <w:pPr>
              <w:pStyle w:val="TableContents"/>
              <w:bidi w:val="0"/>
              <w:spacing w:before="0" w:after="283"/>
              <w:jc w:val="both"/>
              <w:rPr/>
            </w:pPr>
            <w:r>
              <w:rPr/>
              <w:t> </w:t>
            </w:r>
          </w:p>
        </w:tc>
        <w:tc>
          <w:tcPr>
            <w:tcW w:w="486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Warrantee may exercise all or part of the Warrants (i) in connection with an Exit (see Clause 4.2) or (ii) at any time determined by the Board (a "Window").</w:t>
            </w:r>
          </w:p>
        </w:tc>
      </w:tr>
      <w:tr>
        <w:trPr/>
        <w:tc>
          <w:tcPr>
            <w:tcW w:w="290" w:type="dxa"/>
            <w:tcBorders/>
            <w:vAlign w:val="center"/>
          </w:tcPr>
          <w:p>
            <w:pPr>
              <w:pStyle w:val="TableContents"/>
              <w:bidi w:val="0"/>
              <w:spacing w:before="0" w:after="283"/>
              <w:jc w:val="both"/>
              <w:rPr/>
            </w:pPr>
            <w:r>
              <w:rPr/>
              <w:t> </w:t>
            </w:r>
          </w:p>
        </w:tc>
        <w:tc>
          <w:tcPr>
            <w:tcW w:w="499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63" w:type="dxa"/>
            <w:gridSpan w:val="2"/>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4992" w:type="dxa"/>
            <w:tcBorders/>
            <w:vAlign w:val="center"/>
          </w:tcPr>
          <w:p>
            <w:pPr>
              <w:pStyle w:val="TableContents"/>
              <w:bidi w:val="0"/>
              <w:spacing w:before="0" w:after="283"/>
              <w:jc w:val="both"/>
              <w:rPr/>
            </w:pPr>
            <w:r>
              <w:rPr/>
              <w:t>"Exit" betyder (a) en ændring i ejerforholdene i Selskabet, hvorved en uafhængig tredjemand erhverver 50 % eller mere af selskabskapitalen i Selskabet eller kommer til at kontrollere mere end 50 % af stemmerne i Selskabet; (b) en børsnotering af Selskabets aktier; (c) salg eller overdragelse af samtlige eller en væsentlig del af Selskabet aktiver; (d) en fusion med Selskabet som det ophørende selskab; eller (e) en kombination af (a) - (d).</w:t>
            </w:r>
          </w:p>
        </w:tc>
        <w:tc>
          <w:tcPr>
            <w:tcW w:w="60" w:type="dxa"/>
            <w:tcBorders/>
            <w:vAlign w:val="center"/>
          </w:tcPr>
          <w:p>
            <w:pPr>
              <w:pStyle w:val="TableContents"/>
              <w:bidi w:val="0"/>
              <w:spacing w:before="0" w:after="283"/>
              <w:jc w:val="both"/>
              <w:rPr/>
            </w:pPr>
            <w:r>
              <w:rPr/>
              <w:t> </w:t>
            </w:r>
          </w:p>
        </w:tc>
        <w:tc>
          <w:tcPr>
            <w:tcW w:w="4863" w:type="dxa"/>
            <w:gridSpan w:val="2"/>
            <w:tcBorders/>
            <w:vAlign w:val="center"/>
          </w:tcPr>
          <w:p>
            <w:pPr>
              <w:pStyle w:val="TableContents"/>
              <w:bidi w:val="0"/>
              <w:spacing w:before="0" w:after="283"/>
              <w:jc w:val="both"/>
              <w:rPr/>
            </w:pPr>
            <w:r>
              <w:rPr/>
              <w:t>An "Exit" shall mean (a) a change of control in the Company whereby any independent third party acquires 50% or more of the share capital in the Company or comes to control more than 50% of the votes in the Company; (b) an initial public offering of the Company's shares ("IPO"); (c) the sale or disposition of all or a material part of the Company's assets; (d) a merger whereby the Company is the discontinuing entity; or (e) a combination of (a) - (d)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5115"/>
        <w:gridCol w:w="60"/>
        <w:gridCol w:w="474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5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tilfælde af en Exit skal Selskabet udstede en skriftlig meddelelse herom ("Meddelelse om Exit") til Warrantindehaveren. Meddelelsen om Exit skal indeholde relevante oplysninger om fremgangsmåden, bilagt en formular til meddelelse om udnyttelse ("Udnyttelsesmeddelelsen") samt eventuelt en yderligere forpligtelseserklæring, som Selskabet efter eget skøn måtte forlange (f.eks. tiltrædelsesdokument til en aftale om køb og salg af anparter eller lignende forpligtelser til overdragelse af anparter, der er tegnet ved udnyttelse af Warrants), og som skal underskrives af Warrantindehaveren ("Yderligere Forpligtelseserklæring").</w:t>
            </w:r>
          </w:p>
        </w:tc>
        <w:tc>
          <w:tcPr>
            <w:tcW w:w="60" w:type="dxa"/>
            <w:tcBorders/>
            <w:vAlign w:val="center"/>
          </w:tcPr>
          <w:p>
            <w:pPr>
              <w:pStyle w:val="TableContents"/>
              <w:bidi w:val="0"/>
              <w:spacing w:before="0" w:after="283"/>
              <w:jc w:val="both"/>
              <w:rPr/>
            </w:pPr>
            <w:r>
              <w:rPr/>
              <w:t> </w:t>
            </w:r>
          </w:p>
        </w:tc>
        <w:tc>
          <w:tcPr>
            <w:tcW w:w="4740" w:type="dxa"/>
            <w:tcBorders/>
            <w:vAlign w:val="center"/>
          </w:tcPr>
          <w:p>
            <w:pPr>
              <w:pStyle w:val="TableContents"/>
              <w:bidi w:val="0"/>
              <w:spacing w:before="0" w:after="283"/>
              <w:jc w:val="both"/>
              <w:rPr/>
            </w:pPr>
            <w:r>
              <w:rPr/>
              <w:t>In the event of an Exit, the Company shall issue a written notice of Exit ("Exit Notice") to the Warrantee. The Exit Notice shall include relevant information on the process and be accompanied by a form of exercise notice (the "Exercise Notice") together with any supplementary undertakings as may be required by the Company at its discretion (for instance adherence documentation to a share sale and purchase agreement or similar undertakings to transfer the shares subscribed for by exercise of the Warrants) to be signed by the Warrantee (the "Supplementary Undertakings").</w:t>
            </w:r>
          </w:p>
        </w:tc>
      </w:tr>
      <w:tr>
        <w:trPr/>
        <w:tc>
          <w:tcPr>
            <w:tcW w:w="290" w:type="dxa"/>
            <w:tcBorders/>
            <w:vAlign w:val="center"/>
          </w:tcPr>
          <w:p>
            <w:pPr>
              <w:pStyle w:val="TableContents"/>
              <w:bidi w:val="0"/>
              <w:spacing w:before="0" w:after="283"/>
              <w:jc w:val="left"/>
              <w:rPr/>
            </w:pPr>
            <w:r>
              <w:rPr/>
              <w:t> </w:t>
            </w:r>
          </w:p>
        </w:tc>
        <w:tc>
          <w:tcPr>
            <w:tcW w:w="51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40"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51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Meddelelse om udnyttelse af Warrants finder sted, ved at Warrantindehaveren fremsender "Udnyttelsesmeddelelsen" til Selskabet med oplysning om det ønskede antal kapitalandele samt en eventuel Yderligere Forpligtelseserklæring. Samtidig med fremsendelsen af Udnyttelsesmeddelelsen og eventuelt Yderligere Forpligtelseserklæring skal Warrantindehaveren betale et kontant beløb til Selskabet svarende til det relevante tegningsbeløb.</w:t>
            </w:r>
          </w:p>
        </w:tc>
        <w:tc>
          <w:tcPr>
            <w:tcW w:w="60" w:type="dxa"/>
            <w:tcBorders/>
            <w:vAlign w:val="center"/>
          </w:tcPr>
          <w:p>
            <w:pPr>
              <w:pStyle w:val="TableContents"/>
              <w:bidi w:val="0"/>
              <w:spacing w:before="0" w:after="283"/>
              <w:jc w:val="both"/>
              <w:rPr/>
            </w:pPr>
            <w:r>
              <w:rPr/>
              <w:t> </w:t>
            </w:r>
          </w:p>
        </w:tc>
        <w:tc>
          <w:tcPr>
            <w:tcW w:w="47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of exercise of the Warrants takes place by the Warrantee's submission to the Company of the Exercise Notice stating the number of shares requested together with any Supplementary Undertakings. At the same time of submitting the Exercise Notice and any Supplementary Undertakings, the Warrantee shall pay in cash to the Company an amount equal to the relevant subscription amount.</w:t>
            </w:r>
          </w:p>
        </w:tc>
      </w:tr>
      <w:tr>
        <w:trPr/>
        <w:tc>
          <w:tcPr>
            <w:tcW w:w="290" w:type="dxa"/>
            <w:tcBorders/>
            <w:vAlign w:val="center"/>
          </w:tcPr>
          <w:p>
            <w:pPr>
              <w:pStyle w:val="TableContents"/>
              <w:bidi w:val="0"/>
              <w:spacing w:before="0" w:after="283"/>
              <w:jc w:val="left"/>
              <w:rPr/>
            </w:pPr>
            <w:r>
              <w:rPr/>
              <w:t> </w:t>
            </w:r>
          </w:p>
        </w:tc>
        <w:tc>
          <w:tcPr>
            <w:tcW w:w="51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40"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5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Medmindre Selskabet bestemmer andet, vil samtlige Warrants automatisk bortfalde uden yderligere varsel og uden kompensation, hvis en Udnyttelsesmeddelelse og en eventuel Yderligere Forpligtelseserklæring samt betaling af det relevante tegningsbeløb ikke er fremsendt senest to uger efter datoen for Meddelelsen om Exit.</w:t>
            </w:r>
          </w:p>
        </w:tc>
        <w:tc>
          <w:tcPr>
            <w:tcW w:w="60" w:type="dxa"/>
            <w:tcBorders/>
            <w:vAlign w:val="center"/>
          </w:tcPr>
          <w:p>
            <w:pPr>
              <w:pStyle w:val="TableContents"/>
              <w:bidi w:val="0"/>
              <w:spacing w:before="0" w:after="283"/>
              <w:jc w:val="both"/>
              <w:rPr/>
            </w:pPr>
            <w:r>
              <w:rPr/>
              <w:t> </w:t>
            </w:r>
          </w:p>
        </w:tc>
        <w:tc>
          <w:tcPr>
            <w:tcW w:w="47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decided by the Company, if an Exercise Notice and any Supplementary Undertakings together with payment of the relevant subscription amount is not submitted no later than two (2) weeks from the date of the Exit Notice, all Warrants shall automatically and without further notice or compensation lapse and become null and void.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5072"/>
        <w:gridCol w:w="60"/>
        <w:gridCol w:w="4678"/>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5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der ikke udnyttes i forbindelse med en Exit, vil automatisk bortfalde uden kompensation efter gennemførelsen af den relevante begivenhed.</w:t>
            </w:r>
          </w:p>
        </w:tc>
        <w:tc>
          <w:tcPr>
            <w:tcW w:w="60" w:type="dxa"/>
            <w:tcBorders/>
            <w:vAlign w:val="center"/>
          </w:tcPr>
          <w:p>
            <w:pPr>
              <w:pStyle w:val="TableContents"/>
              <w:bidi w:val="0"/>
              <w:spacing w:before="0" w:after="283"/>
              <w:jc w:val="both"/>
              <w:rPr/>
            </w:pPr>
            <w:r>
              <w:rPr/>
              <w:t> </w:t>
            </w:r>
          </w:p>
        </w:tc>
        <w:tc>
          <w:tcPr>
            <w:tcW w:w="467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Warrants that are not exercised in connection with an Exit shall automatically become void without compensation, following the completion the relevant event.</w:t>
            </w:r>
          </w:p>
        </w:tc>
      </w:tr>
      <w:tr>
        <w:trPr/>
        <w:tc>
          <w:tcPr>
            <w:tcW w:w="395" w:type="dxa"/>
            <w:tcBorders/>
            <w:vAlign w:val="center"/>
          </w:tcPr>
          <w:p>
            <w:pPr>
              <w:pStyle w:val="TableContents"/>
              <w:bidi w:val="0"/>
              <w:spacing w:before="0" w:after="283"/>
              <w:jc w:val="left"/>
              <w:rPr/>
            </w:pPr>
            <w:r>
              <w:rPr/>
              <w:t> </w:t>
            </w:r>
          </w:p>
        </w:tc>
        <w:tc>
          <w:tcPr>
            <w:tcW w:w="507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78"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5072" w:type="dxa"/>
            <w:tcBorders/>
            <w:vAlign w:val="center"/>
          </w:tcPr>
          <w:p>
            <w:pPr>
              <w:pStyle w:val="TableContents"/>
              <w:bidi w:val="0"/>
              <w:spacing w:before="0" w:after="283"/>
              <w:jc w:val="both"/>
              <w:rPr/>
            </w:pPr>
            <w:r>
              <w:rPr/>
              <w:t>Såfremt der efter Meddelelsen om Exit ikke sker en endelig gennemførelse af Exit, beholder Warrantindehaveren sine Warrants i henhold til vilkårene i denne Aftale. Hvis Warrantindehaveren har tegnet kapitalandele i Selskabet gennem udnyttelse af Warrants, og disse nye kapitalandele er blevet registreret i Erhvervsstyrelsen, beholder Warrantindehaveren de tegnede kapitalandele, uanset at den bebudede Exit ikke er endeligt gennemført, og de udnyttede Warrants skal ikke tilbageføres. Både Selskabet og Warrantindehaveren har dog ret til efter eget skøn at forlange, at Selskabet tilbagekøber de erhvervede kapitalandele til Tegningsprisen.</w:t>
            </w:r>
          </w:p>
        </w:tc>
        <w:tc>
          <w:tcPr>
            <w:tcW w:w="60" w:type="dxa"/>
            <w:tcBorders/>
            <w:vAlign w:val="center"/>
          </w:tcPr>
          <w:p>
            <w:pPr>
              <w:pStyle w:val="TableContents"/>
              <w:bidi w:val="0"/>
              <w:spacing w:before="0" w:after="283"/>
              <w:jc w:val="both"/>
              <w:rPr/>
            </w:pPr>
            <w:r>
              <w:rPr/>
              <w:t> </w:t>
            </w:r>
          </w:p>
        </w:tc>
        <w:tc>
          <w:tcPr>
            <w:tcW w:w="4678" w:type="dxa"/>
            <w:tcBorders/>
            <w:vAlign w:val="center"/>
          </w:tcPr>
          <w:p>
            <w:pPr>
              <w:pStyle w:val="TableContents"/>
              <w:bidi w:val="0"/>
              <w:spacing w:before="0" w:after="283"/>
              <w:jc w:val="both"/>
              <w:rPr/>
            </w:pPr>
            <w:r>
              <w:rPr/>
              <w:t>In the event that an Exit is not finally completed following an Exit Notice, the Warrantee's right to the Warrants as set out in the Agreement shall be retained. In the event that shares have been subscribed for in the Company by exercise of Warrants and such new shares have been registered with the Danish Business Authority, the shares subscribed for shall be retained notwithstanding a notified Exit is not finally completed and the exercised Warrants shall not be reversed, however, both the Company and the Warrantee may on a discretionary basis request that the Company shall repurchase the shares acquired at the Subscription Price.</w:t>
            </w:r>
          </w:p>
        </w:tc>
      </w:tr>
      <w:tr>
        <w:trPr/>
        <w:tc>
          <w:tcPr>
            <w:tcW w:w="395" w:type="dxa"/>
            <w:tcBorders/>
            <w:vAlign w:val="center"/>
          </w:tcPr>
          <w:p>
            <w:pPr>
              <w:pStyle w:val="TableContents"/>
              <w:bidi w:val="0"/>
              <w:spacing w:before="0" w:after="283"/>
              <w:jc w:val="left"/>
              <w:rPr/>
            </w:pPr>
            <w:r>
              <w:rPr/>
              <w:t> </w:t>
            </w:r>
          </w:p>
        </w:tc>
        <w:tc>
          <w:tcPr>
            <w:tcW w:w="507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78"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5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Såfremt der oprettes et Vindue, skal punkt 4.3 - 4.5 samtidig være gældende.</w:t>
            </w:r>
          </w:p>
        </w:tc>
        <w:tc>
          <w:tcPr>
            <w:tcW w:w="60" w:type="dxa"/>
            <w:tcBorders/>
            <w:vAlign w:val="center"/>
          </w:tcPr>
          <w:p>
            <w:pPr>
              <w:pStyle w:val="TableContents"/>
              <w:bidi w:val="0"/>
              <w:spacing w:before="0" w:after="283"/>
              <w:jc w:val="both"/>
              <w:rPr/>
            </w:pPr>
            <w:r>
              <w:rPr/>
              <w:t> </w:t>
            </w:r>
          </w:p>
        </w:tc>
        <w:tc>
          <w:tcPr>
            <w:tcW w:w="46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case a Window is established Clauses 4.3–4.5 shall apply simultaneously.</w:t>
            </w:r>
          </w:p>
        </w:tc>
      </w:tr>
      <w:tr>
        <w:trPr/>
        <w:tc>
          <w:tcPr>
            <w:tcW w:w="395" w:type="dxa"/>
            <w:tcBorders/>
            <w:vAlign w:val="center"/>
          </w:tcPr>
          <w:p>
            <w:pPr>
              <w:pStyle w:val="TableContents"/>
              <w:bidi w:val="0"/>
              <w:spacing w:before="0" w:after="283"/>
              <w:jc w:val="left"/>
              <w:rPr/>
            </w:pPr>
            <w:r>
              <w:rPr/>
              <w:t> </w:t>
            </w:r>
          </w:p>
        </w:tc>
        <w:tc>
          <w:tcPr>
            <w:tcW w:w="507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78"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5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der ikke udnyttes i forbindelse med et Vindue, bortfalder automatisk uden kompensation.</w:t>
            </w:r>
          </w:p>
        </w:tc>
        <w:tc>
          <w:tcPr>
            <w:tcW w:w="60" w:type="dxa"/>
            <w:tcBorders/>
            <w:vAlign w:val="center"/>
          </w:tcPr>
          <w:p>
            <w:pPr>
              <w:pStyle w:val="TableContents"/>
              <w:bidi w:val="0"/>
              <w:spacing w:before="0" w:after="283"/>
              <w:jc w:val="both"/>
              <w:rPr/>
            </w:pPr>
            <w:r>
              <w:rPr/>
              <w:t> </w:t>
            </w:r>
          </w:p>
        </w:tc>
        <w:tc>
          <w:tcPr>
            <w:tcW w:w="46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Warrants that are not exercised in connection with a Window shall automatically become void without compensation.</w:t>
            </w:r>
          </w:p>
        </w:tc>
      </w:tr>
      <w:tr>
        <w:trPr/>
        <w:tc>
          <w:tcPr>
            <w:tcW w:w="395" w:type="dxa"/>
            <w:tcBorders/>
            <w:vAlign w:val="center"/>
          </w:tcPr>
          <w:p>
            <w:pPr>
              <w:pStyle w:val="TableContents"/>
              <w:bidi w:val="0"/>
              <w:spacing w:before="0" w:after="283"/>
              <w:jc w:val="left"/>
              <w:rPr/>
            </w:pPr>
            <w:r>
              <w:rPr/>
              <w:t> </w:t>
            </w:r>
          </w:p>
        </w:tc>
        <w:tc>
          <w:tcPr>
            <w:tcW w:w="507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78"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5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Såfremt et Vindue ikke er blevet oprettet senest den 31. december 2036, bortfalder Warrants automatisk uden yderligere varsel og uden kompensation.</w:t>
            </w:r>
          </w:p>
        </w:tc>
        <w:tc>
          <w:tcPr>
            <w:tcW w:w="60" w:type="dxa"/>
            <w:tcBorders/>
            <w:vAlign w:val="center"/>
          </w:tcPr>
          <w:p>
            <w:pPr>
              <w:pStyle w:val="TableContents"/>
              <w:bidi w:val="0"/>
              <w:spacing w:before="0" w:after="283"/>
              <w:jc w:val="both"/>
              <w:rPr/>
            </w:pPr>
            <w:r>
              <w:rPr/>
              <w:t> </w:t>
            </w:r>
          </w:p>
        </w:tc>
        <w:tc>
          <w:tcPr>
            <w:tcW w:w="46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an Exit or a Window has not occurred on or before 31 December 2036, the Warrants shall automatically and without further notice or compensation lapse and become null and void.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5276"/>
        <w:gridCol w:w="60"/>
        <w:gridCol w:w="413"/>
        <w:gridCol w:w="4061"/>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52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forbindelse med en notering af ADS'er på Nasdaq, USA, har Selskabets bestyrelse i henhold til pkt. 4.1 truffet beslutning om at fastsætte udnyttelsesvinduerne for udstedte warrants således:</w:t>
            </w:r>
          </w:p>
        </w:tc>
        <w:tc>
          <w:tcPr>
            <w:tcW w:w="60" w:type="dxa"/>
            <w:tcBorders/>
            <w:vAlign w:val="center"/>
          </w:tcPr>
          <w:p>
            <w:pPr>
              <w:pStyle w:val="TableContents"/>
              <w:bidi w:val="0"/>
              <w:spacing w:before="0" w:after="283"/>
              <w:jc w:val="both"/>
              <w:rPr/>
            </w:pPr>
            <w:r>
              <w:rPr/>
              <w:t> </w:t>
            </w:r>
          </w:p>
        </w:tc>
        <w:tc>
          <w:tcPr>
            <w:tcW w:w="447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connection with a listing of ADSs on Nasdaq, USA, the board of directors has resolved, pursuant to clause 4.1, to determine the exercise windows for issued warrants as follows:</w:t>
            </w:r>
          </w:p>
        </w:tc>
      </w:tr>
      <w:tr>
        <w:trPr/>
        <w:tc>
          <w:tcPr>
            <w:tcW w:w="395" w:type="dxa"/>
            <w:tcBorders/>
            <w:vAlign w:val="center"/>
          </w:tcPr>
          <w:p>
            <w:pPr>
              <w:pStyle w:val="TableContents"/>
              <w:bidi w:val="0"/>
              <w:spacing w:before="0" w:after="283"/>
              <w:jc w:val="left"/>
              <w:rPr/>
            </w:pPr>
            <w:r>
              <w:rPr/>
              <w:t> </w:t>
            </w:r>
          </w:p>
        </w:tc>
        <w:tc>
          <w:tcPr>
            <w:tcW w:w="527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74"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pPr>
            <w:r>
              <w:rPr/>
              <w:t> </w:t>
            </w:r>
          </w:p>
        </w:tc>
        <w:tc>
          <w:tcPr>
            <w:tcW w:w="5276" w:type="dxa"/>
            <w:tcBorders/>
            <w:vAlign w:val="center"/>
          </w:tcPr>
          <w:p>
            <w:pPr>
              <w:pStyle w:val="TableContents"/>
              <w:bidi w:val="0"/>
              <w:spacing w:before="0" w:after="283"/>
              <w:jc w:val="both"/>
              <w:rPr/>
            </w:pPr>
            <w:r>
              <w:rPr/>
              <w:t>Optjente warrants kan udnyttes i fire årlige udnyttelsesvinduer på 2 uger, som hver ligger to handelsdage efter offentliggørelsen af henholdsvis Selskabets årsrapport, halvårsregnskabet samt kvartalsmeddelelserne. Første udnyttelsesperiode indtræder dog tidligst 180 dage efter Selskabets notering af ADS’er på Nasdaq, USA, og i de første fire udnyttelsesperioder kan warrantindehaveren maksimalt udnytte 25% af de til warrantindehaveren tildelte warrants forudsat altid at warrants er optjent.</w:t>
            </w:r>
          </w:p>
        </w:tc>
        <w:tc>
          <w:tcPr>
            <w:tcW w:w="60" w:type="dxa"/>
            <w:tcBorders/>
            <w:vAlign w:val="center"/>
          </w:tcPr>
          <w:p>
            <w:pPr>
              <w:pStyle w:val="TableContents"/>
              <w:bidi w:val="0"/>
              <w:spacing w:before="0" w:after="283"/>
              <w:jc w:val="both"/>
              <w:rPr/>
            </w:pPr>
            <w:r>
              <w:rPr/>
              <w:t> </w:t>
            </w:r>
          </w:p>
        </w:tc>
        <w:tc>
          <w:tcPr>
            <w:tcW w:w="4474" w:type="dxa"/>
            <w:gridSpan w:val="2"/>
            <w:tcBorders/>
            <w:vAlign w:val="center"/>
          </w:tcPr>
          <w:p>
            <w:pPr>
              <w:pStyle w:val="TableContents"/>
              <w:bidi w:val="0"/>
              <w:spacing w:before="0" w:after="283"/>
              <w:jc w:val="both"/>
              <w:rPr/>
            </w:pPr>
            <w:r>
              <w:rPr/>
              <w:t>Vested warrants may be exercise in four annual exercise windows of two weeks each that each commence two trading days following publication of the Company’s annual report, the 6-month report and the interim reports. The first exercise window shall, however, be at least 180 days following the listing by the Company of ADSs on Nasdaq, USA and in the first four exercise periods the warrant-holder may as a maximum exercise 25% of the warrants granted to the respective warrantholders, provided always that the warrants have vested.</w:t>
            </w:r>
          </w:p>
        </w:tc>
      </w:tr>
      <w:tr>
        <w:trPr/>
        <w:tc>
          <w:tcPr>
            <w:tcW w:w="395" w:type="dxa"/>
            <w:tcBorders/>
            <w:vAlign w:val="center"/>
          </w:tcPr>
          <w:p>
            <w:pPr>
              <w:pStyle w:val="TableContents"/>
              <w:bidi w:val="0"/>
              <w:spacing w:before="0" w:after="283"/>
              <w:jc w:val="left"/>
              <w:rPr/>
            </w:pPr>
            <w:r>
              <w:rPr/>
              <w:t> </w:t>
            </w:r>
          </w:p>
        </w:tc>
        <w:tc>
          <w:tcPr>
            <w:tcW w:w="527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74"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527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VISSE BETINGELSER I RELATION TIL EXIT</w:t>
            </w:r>
          </w:p>
        </w:tc>
        <w:tc>
          <w:tcPr>
            <w:tcW w:w="60" w:type="dxa"/>
            <w:tcBorders/>
            <w:vAlign w:val="center"/>
          </w:tcPr>
          <w:p>
            <w:pPr>
              <w:pStyle w:val="TableContents"/>
              <w:bidi w:val="0"/>
              <w:spacing w:before="0" w:after="283"/>
              <w:jc w:val="both"/>
              <w:rPr/>
            </w:pPr>
            <w:r>
              <w:rPr/>
              <w:t> </w:t>
            </w:r>
          </w:p>
        </w:tc>
        <w:tc>
          <w:tcPr>
            <w:tcW w:w="41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5</w:t>
            </w:r>
          </w:p>
        </w:tc>
        <w:tc>
          <w:tcPr>
            <w:tcW w:w="406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CERTAIN CONDITIONS RELATING TO AN EXIT</w:t>
            </w:r>
          </w:p>
        </w:tc>
      </w:tr>
      <w:tr>
        <w:trPr/>
        <w:tc>
          <w:tcPr>
            <w:tcW w:w="395" w:type="dxa"/>
            <w:tcBorders/>
            <w:vAlign w:val="center"/>
          </w:tcPr>
          <w:p>
            <w:pPr>
              <w:pStyle w:val="TableContents"/>
              <w:bidi w:val="0"/>
              <w:spacing w:before="0" w:after="283"/>
              <w:jc w:val="left"/>
              <w:rPr/>
            </w:pPr>
            <w:r>
              <w:rPr/>
              <w:t> </w:t>
            </w:r>
          </w:p>
        </w:tc>
        <w:tc>
          <w:tcPr>
            <w:tcW w:w="527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13" w:type="dxa"/>
            <w:tcBorders/>
            <w:vAlign w:val="center"/>
          </w:tcPr>
          <w:p>
            <w:pPr>
              <w:pStyle w:val="TableContents"/>
              <w:bidi w:val="0"/>
              <w:spacing w:before="0" w:after="283"/>
              <w:jc w:val="both"/>
              <w:rPr/>
            </w:pPr>
            <w:r>
              <w:rPr/>
              <w:t> </w:t>
            </w:r>
          </w:p>
        </w:tc>
        <w:tc>
          <w:tcPr>
            <w:tcW w:w="4061"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5276" w:type="dxa"/>
            <w:tcBorders/>
            <w:vAlign w:val="center"/>
          </w:tcPr>
          <w:p>
            <w:pPr>
              <w:pStyle w:val="TableContents"/>
              <w:bidi w:val="0"/>
              <w:spacing w:before="0" w:after="283"/>
              <w:jc w:val="both"/>
              <w:rPr/>
            </w:pPr>
            <w:r>
              <w:rPr/>
              <w:t>Efter udnyttelse af Warrants i forbindelse med en børsnotering skal Warrantindehaveren under- skrive og tiltræde de aftaler eller forpligtelser, herunder i relation til en lock-up periode eller andre lock-up forpligtelser, som den udstedende bank måtte anmode om i forbindelse med en børsnotering.</w:t>
            </w:r>
          </w:p>
        </w:tc>
        <w:tc>
          <w:tcPr>
            <w:tcW w:w="60" w:type="dxa"/>
            <w:tcBorders/>
            <w:vAlign w:val="center"/>
          </w:tcPr>
          <w:p>
            <w:pPr>
              <w:pStyle w:val="TableContents"/>
              <w:bidi w:val="0"/>
              <w:spacing w:before="0" w:after="283"/>
              <w:jc w:val="both"/>
              <w:rPr/>
            </w:pPr>
            <w:r>
              <w:rPr/>
              <w:t> </w:t>
            </w:r>
          </w:p>
        </w:tc>
        <w:tc>
          <w:tcPr>
            <w:tcW w:w="4474" w:type="dxa"/>
            <w:gridSpan w:val="2"/>
            <w:tcBorders/>
            <w:vAlign w:val="center"/>
          </w:tcPr>
          <w:p>
            <w:pPr>
              <w:pStyle w:val="TableContents"/>
              <w:bidi w:val="0"/>
              <w:spacing w:before="0" w:after="283"/>
              <w:jc w:val="both"/>
              <w:rPr/>
            </w:pPr>
            <w:r>
              <w:rPr/>
              <w:t>Following exercise of Warrants in connection with an IPO, the Warrantee shall sign and accept such agreements or undertakings including in respect of period of lock-up and other lock-up obligations which may be proposed by the issuing bank in connection with an IPO.</w:t>
            </w:r>
          </w:p>
        </w:tc>
      </w:tr>
      <w:tr>
        <w:trPr/>
        <w:tc>
          <w:tcPr>
            <w:tcW w:w="395" w:type="dxa"/>
            <w:tcBorders/>
            <w:vAlign w:val="center"/>
          </w:tcPr>
          <w:p>
            <w:pPr>
              <w:pStyle w:val="TableContents"/>
              <w:bidi w:val="0"/>
              <w:spacing w:before="0" w:after="283"/>
              <w:jc w:val="left"/>
              <w:rPr/>
            </w:pPr>
            <w:r>
              <w:rPr/>
              <w:t> </w:t>
            </w:r>
          </w:p>
        </w:tc>
        <w:tc>
          <w:tcPr>
            <w:tcW w:w="527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74"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5276" w:type="dxa"/>
            <w:tcBorders/>
            <w:vAlign w:val="center"/>
          </w:tcPr>
          <w:p>
            <w:pPr>
              <w:pStyle w:val="TableContents"/>
              <w:bidi w:val="0"/>
              <w:spacing w:before="0" w:after="283"/>
              <w:jc w:val="both"/>
              <w:rPr/>
            </w:pPr>
            <w:r>
              <w:rPr/>
              <w:t>Selskabet kan kræve, og Warrantindehaveren skal i så fald acceptere, at samtlige eller en del af Warrants ombyttes ligeligt til kapitalandele, warrants, konvertible værdipapirer eller et andet kapitalandelsbaseret instrument udstedt af en køber eller af en efterfølger af Selskabet eller af et af disses moderselskab eller datterselskab, eller til kapitalandele, warrants, konvertible værdipapirer eller andet kapitalandelsbaseret instrument udstedt af Selskabet efter omstrukturering, således at den pågældende Warrantindehavers Warrants umiddelbart efter en sådan ombytning sammen med betaling af en eventuel kontant godtgørelse til Warrantindehaveren - i alt væsentlig har samme værdi som Warrants, herunder de Warrants ejet af Warrantindehaveren umiddelbart før en sådan ombytning. Uanset ovenstående er Warrantindehaveren berettiget til en delvis kontant udbetaling i det omfang, dette er nødvendigt, for at Warrantindehaveren er i stand til at betale eventuel indkomst- eller kapitalgevinstskat, der umiddelbart forfalder som følge af en sådan ombytning af værdipapirer.</w:t>
            </w:r>
          </w:p>
        </w:tc>
        <w:tc>
          <w:tcPr>
            <w:tcW w:w="60" w:type="dxa"/>
            <w:tcBorders/>
            <w:vAlign w:val="center"/>
          </w:tcPr>
          <w:p>
            <w:pPr>
              <w:pStyle w:val="TableContents"/>
              <w:bidi w:val="0"/>
              <w:spacing w:before="0" w:after="283"/>
              <w:jc w:val="both"/>
              <w:rPr/>
            </w:pPr>
            <w:r>
              <w:rPr/>
              <w:t> </w:t>
            </w:r>
          </w:p>
        </w:tc>
        <w:tc>
          <w:tcPr>
            <w:tcW w:w="4474" w:type="dxa"/>
            <w:gridSpan w:val="2"/>
            <w:tcBorders/>
            <w:vAlign w:val="center"/>
          </w:tcPr>
          <w:p>
            <w:pPr>
              <w:pStyle w:val="TableContents"/>
              <w:bidi w:val="0"/>
              <w:spacing w:before="0" w:after="283"/>
              <w:jc w:val="both"/>
              <w:rPr/>
            </w:pPr>
            <w:r>
              <w:rPr/>
              <w:t>The Company may request, and the Warrantee shall then accept, that all or a portion of the War- rants shall be equitably exchanged for shares, warrants, convertibles or any other equity based instrument, issued by any purchaser of or successor to the Company, or by a parent or subsidiary of either of them, or shares, warrants, convertibles or any other equity based instrument issued by the Company as restructured, such that such Warrantee's Warrants immediately following such exchange, when aggregated with any cash consideration paid to such Warrantee, shall have substantially the same value as the Warrants, including any Warrants held by such Warrantee immediately prior to such exchange. Notwithstanding any of the foregoing, the Warrantee shall be entitled to partial consideration in cash to the extent necessary in order for the Warrantee to be able to pay any personal income or capital gains tax immediately falling due as a result of such exchange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5222"/>
        <w:gridCol w:w="60"/>
        <w:gridCol w:w="4633"/>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5222" w:type="dxa"/>
            <w:tcBorders/>
            <w:vAlign w:val="center"/>
          </w:tcPr>
          <w:p>
            <w:pPr>
              <w:pStyle w:val="TableContents"/>
              <w:bidi w:val="0"/>
              <w:spacing w:before="0" w:after="283"/>
              <w:jc w:val="both"/>
              <w:rPr/>
            </w:pPr>
            <w:r>
              <w:rPr/>
              <w:t>Forud for en Exit er Selskabet (eller en tredje- mand, der er udpeget af Selskabet) berettiget til at købe Warrants fra Warrantindehaveren til en pris, der fastsættes i overensstemmelse med punkt 5.5 nedenfor.</w:t>
            </w:r>
          </w:p>
        </w:tc>
        <w:tc>
          <w:tcPr>
            <w:tcW w:w="60" w:type="dxa"/>
            <w:tcBorders/>
            <w:vAlign w:val="center"/>
          </w:tcPr>
          <w:p>
            <w:pPr>
              <w:pStyle w:val="TableContents"/>
              <w:bidi w:val="0"/>
              <w:spacing w:before="0" w:after="283"/>
              <w:jc w:val="both"/>
              <w:rPr/>
            </w:pPr>
            <w:r>
              <w:rPr/>
              <w:t> </w:t>
            </w:r>
          </w:p>
        </w:tc>
        <w:tc>
          <w:tcPr>
            <w:tcW w:w="4633" w:type="dxa"/>
            <w:tcBorders/>
            <w:vAlign w:val="center"/>
          </w:tcPr>
          <w:p>
            <w:pPr>
              <w:pStyle w:val="TableContents"/>
              <w:bidi w:val="0"/>
              <w:spacing w:before="0" w:after="283"/>
              <w:jc w:val="both"/>
              <w:rPr/>
            </w:pPr>
            <w:r>
              <w:rPr/>
              <w:t>Prior to an Exit, the Company (or a third party appointed by the Company) shall have a right to purchase the Warrants from the Warrantee for a price determined in accordance with Clause 5.5 below.</w:t>
            </w:r>
          </w:p>
        </w:tc>
      </w:tr>
      <w:tr>
        <w:trPr/>
        <w:tc>
          <w:tcPr>
            <w:tcW w:w="290" w:type="dxa"/>
            <w:tcBorders/>
            <w:vAlign w:val="center"/>
          </w:tcPr>
          <w:p>
            <w:pPr>
              <w:pStyle w:val="TableContents"/>
              <w:bidi w:val="0"/>
              <w:spacing w:before="0" w:after="283"/>
              <w:jc w:val="left"/>
              <w:rPr/>
            </w:pPr>
            <w:r>
              <w:rPr/>
              <w:t> </w:t>
            </w:r>
          </w:p>
        </w:tc>
        <w:tc>
          <w:tcPr>
            <w:tcW w:w="522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33"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5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Selskabet ønsker at udnytte en af sine rettigheder i henhold til denne Aftale, skal der gives skriftlig meddelelse herom per email til Warrantindehaveren. En meddelelse betragtes som værende kommet Warrantindehaveren i hænde, og Selskabets rettighed derved udøvet, på tidspunktet for emailens afsendelse, forudsat at meddelelsen er stilet til den emailadresse, som Warrantindehaveren til enhver tid har oplyst Selskabet om. Udnyttelse af en rettighed i henhold til punkt 5.3 ovenfor er altid betinget af, at Exit faktisk er blevet gennemført.</w:t>
            </w:r>
          </w:p>
        </w:tc>
        <w:tc>
          <w:tcPr>
            <w:tcW w:w="60" w:type="dxa"/>
            <w:tcBorders/>
            <w:vAlign w:val="center"/>
          </w:tcPr>
          <w:p>
            <w:pPr>
              <w:pStyle w:val="TableContents"/>
              <w:bidi w:val="0"/>
              <w:spacing w:before="0" w:after="283"/>
              <w:jc w:val="both"/>
              <w:rPr/>
            </w:pPr>
            <w:r>
              <w:rPr/>
              <w:t> </w:t>
            </w:r>
          </w:p>
        </w:tc>
        <w:tc>
          <w:tcPr>
            <w:tcW w:w="463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wishes to exercise any of its rights under this Agreement, a written notice to that effect shall be sent by email to the Warrantee. A notice shall be deemed to have reached a Warrantee, and hence the right of the Company shall be deemed to have been exercised, at the time of the dispatch of the email, provided the notice has been addressed to the email address of the Warrantee which the Warrantee has informed the Company at any time. The exercise of rights pursuant to Clause 5.3 above is always subject to the condition that the Exit is actually completed.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8"/>
        <w:gridCol w:w="5307"/>
        <w:gridCol w:w="60"/>
        <w:gridCol w:w="4320"/>
      </w:tblGrid>
      <w:tr>
        <w:trPr/>
        <w:tc>
          <w:tcPr>
            <w:tcW w:w="5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5.5</w:t>
            </w:r>
          </w:p>
        </w:tc>
        <w:tc>
          <w:tcPr>
            <w:tcW w:w="530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Købspris i forbindelse med Exit</w:t>
            </w:r>
          </w:p>
        </w:tc>
        <w:tc>
          <w:tcPr>
            <w:tcW w:w="60" w:type="dxa"/>
            <w:tcBorders/>
            <w:vAlign w:val="center"/>
          </w:tcPr>
          <w:p>
            <w:pPr>
              <w:pStyle w:val="TableContents"/>
              <w:bidi w:val="0"/>
              <w:spacing w:before="0" w:after="283"/>
              <w:jc w:val="both"/>
              <w:rPr/>
            </w:pPr>
            <w:r>
              <w:rPr/>
              <w:t> </w:t>
            </w:r>
          </w:p>
        </w:tc>
        <w:tc>
          <w:tcPr>
            <w:tcW w:w="43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Purchase Price in connection with an Exit</w:t>
            </w:r>
          </w:p>
        </w:tc>
      </w:tr>
      <w:tr>
        <w:trPr/>
        <w:tc>
          <w:tcPr>
            <w:tcW w:w="518" w:type="dxa"/>
            <w:tcBorders/>
            <w:vAlign w:val="center"/>
          </w:tcPr>
          <w:p>
            <w:pPr>
              <w:pStyle w:val="TableContents"/>
              <w:bidi w:val="0"/>
              <w:spacing w:before="0" w:after="283"/>
              <w:jc w:val="left"/>
              <w:rPr/>
            </w:pPr>
            <w:r>
              <w:rPr/>
              <w:t> </w:t>
            </w:r>
          </w:p>
        </w:tc>
        <w:tc>
          <w:tcPr>
            <w:tcW w:w="530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320" w:type="dxa"/>
            <w:tcBorders/>
            <w:vAlign w:val="center"/>
          </w:tcPr>
          <w:p>
            <w:pPr>
              <w:pStyle w:val="TableContents"/>
              <w:bidi w:val="0"/>
              <w:spacing w:before="0" w:after="283"/>
              <w:jc w:val="both"/>
              <w:rPr/>
            </w:pPr>
            <w:r>
              <w:rPr/>
              <w:t> </w:t>
            </w:r>
          </w:p>
        </w:tc>
      </w:tr>
      <w:tr>
        <w:trPr/>
        <w:tc>
          <w:tcPr>
            <w:tcW w:w="5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5.5.1</w:t>
            </w:r>
          </w:p>
        </w:tc>
        <w:tc>
          <w:tcPr>
            <w:tcW w:w="5307" w:type="dxa"/>
            <w:tcBorders/>
            <w:vAlign w:val="center"/>
          </w:tcPr>
          <w:p>
            <w:pPr>
              <w:pStyle w:val="TableContents"/>
              <w:bidi w:val="0"/>
              <w:spacing w:before="0" w:after="283"/>
              <w:jc w:val="both"/>
              <w:rPr/>
            </w:pPr>
            <w:r>
              <w:rPr/>
              <w:t>Ved køb af Warrantindehaverens Warrants i hen- hold til punkt 5.3 skal værdien af Warrants være baseret på den rimelige markedsværdi som anført nedenfor.</w:t>
            </w:r>
          </w:p>
        </w:tc>
        <w:tc>
          <w:tcPr>
            <w:tcW w:w="60" w:type="dxa"/>
            <w:tcBorders/>
            <w:vAlign w:val="center"/>
          </w:tcPr>
          <w:p>
            <w:pPr>
              <w:pStyle w:val="TableContents"/>
              <w:bidi w:val="0"/>
              <w:spacing w:before="0" w:after="283"/>
              <w:jc w:val="both"/>
              <w:rPr/>
            </w:pPr>
            <w:r>
              <w:rPr/>
              <w:t> </w:t>
            </w:r>
          </w:p>
        </w:tc>
        <w:tc>
          <w:tcPr>
            <w:tcW w:w="4320" w:type="dxa"/>
            <w:tcBorders/>
            <w:vAlign w:val="center"/>
          </w:tcPr>
          <w:p>
            <w:pPr>
              <w:pStyle w:val="TableContents"/>
              <w:bidi w:val="0"/>
              <w:spacing w:before="0" w:after="283"/>
              <w:jc w:val="both"/>
              <w:rPr/>
            </w:pPr>
            <w:r>
              <w:rPr/>
              <w:t>When the Warrantee's Warrants are purchased in accordance with Clause 5.3, the Warrants shall be based on the fair market value as set out below.</w:t>
            </w:r>
          </w:p>
        </w:tc>
      </w:tr>
      <w:tr>
        <w:trPr/>
        <w:tc>
          <w:tcPr>
            <w:tcW w:w="518" w:type="dxa"/>
            <w:tcBorders/>
            <w:vAlign w:val="center"/>
          </w:tcPr>
          <w:p>
            <w:pPr>
              <w:pStyle w:val="TableContents"/>
              <w:bidi w:val="0"/>
              <w:spacing w:before="0" w:after="283"/>
              <w:jc w:val="left"/>
              <w:rPr/>
            </w:pPr>
            <w:r>
              <w:rPr/>
              <w:t> </w:t>
            </w:r>
          </w:p>
        </w:tc>
        <w:tc>
          <w:tcPr>
            <w:tcW w:w="530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320" w:type="dxa"/>
            <w:tcBorders/>
            <w:vAlign w:val="center"/>
          </w:tcPr>
          <w:p>
            <w:pPr>
              <w:pStyle w:val="TableContents"/>
              <w:bidi w:val="0"/>
              <w:spacing w:before="0" w:after="283"/>
              <w:jc w:val="both"/>
              <w:rPr/>
            </w:pPr>
            <w:r>
              <w:rPr/>
              <w:t> </w:t>
            </w:r>
          </w:p>
        </w:tc>
      </w:tr>
      <w:tr>
        <w:trPr/>
        <w:tc>
          <w:tcPr>
            <w:tcW w:w="5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5.5.2</w:t>
            </w:r>
          </w:p>
        </w:tc>
        <w:tc>
          <w:tcPr>
            <w:tcW w:w="53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 rimelige markedsværdi af Warrants beregnes af Selskabet på grundlag af den nettopris per kapitalandel i Selskabet, som sælgende kapital- ejere vil modtage ved en Exit med fradrag af et forholdsmæssigt beløb for vederlag til rådgivere m.v. Ved beregningen af den rimelige markedsværdi af Warrants skal Selskabet fratrække et beløb, som Selskabet anser som passende i betragtning af de sælgende kapitalejeres eventuelle forpligtelser i henhold til Exit.</w:t>
            </w:r>
          </w:p>
        </w:tc>
        <w:tc>
          <w:tcPr>
            <w:tcW w:w="60" w:type="dxa"/>
            <w:tcBorders/>
            <w:vAlign w:val="center"/>
          </w:tcPr>
          <w:p>
            <w:pPr>
              <w:pStyle w:val="TableContents"/>
              <w:bidi w:val="0"/>
              <w:spacing w:before="0" w:after="283"/>
              <w:jc w:val="both"/>
              <w:rPr/>
            </w:pPr>
            <w:r>
              <w:rPr/>
              <w:t> </w:t>
            </w:r>
          </w:p>
        </w:tc>
        <w:tc>
          <w:tcPr>
            <w:tcW w:w="43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market value of the Warrants shall be calculated by the Company based on the net price per share of the Company to be received by the selling shareholders in an Exit deducted the proportionate amount of any fees to advisors etc. When calculating the fair market value of the Warrants, the Company shall deduct from the fair market value an amount which the Company deems appropriate when considering the selling shareholders' potential liabilities pursuant to the Exit.</w:t>
            </w:r>
          </w:p>
        </w:tc>
      </w:tr>
      <w:tr>
        <w:trPr/>
        <w:tc>
          <w:tcPr>
            <w:tcW w:w="518" w:type="dxa"/>
            <w:tcBorders/>
            <w:vAlign w:val="center"/>
          </w:tcPr>
          <w:p>
            <w:pPr>
              <w:pStyle w:val="TableContents"/>
              <w:bidi w:val="0"/>
              <w:spacing w:before="0" w:after="283"/>
              <w:jc w:val="left"/>
              <w:rPr/>
            </w:pPr>
            <w:r>
              <w:rPr/>
              <w:t> </w:t>
            </w:r>
          </w:p>
        </w:tc>
        <w:tc>
          <w:tcPr>
            <w:tcW w:w="530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320" w:type="dxa"/>
            <w:tcBorders/>
            <w:vAlign w:val="center"/>
          </w:tcPr>
          <w:p>
            <w:pPr>
              <w:pStyle w:val="TableContents"/>
              <w:bidi w:val="0"/>
              <w:spacing w:before="0" w:after="283"/>
              <w:jc w:val="both"/>
              <w:rPr/>
            </w:pPr>
            <w:r>
              <w:rPr/>
              <w:t> </w:t>
            </w:r>
          </w:p>
        </w:tc>
      </w:tr>
      <w:tr>
        <w:trPr/>
        <w:tc>
          <w:tcPr>
            <w:tcW w:w="5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5.5.3</w:t>
            </w:r>
          </w:p>
        </w:tc>
        <w:tc>
          <w:tcPr>
            <w:tcW w:w="5307" w:type="dxa"/>
            <w:tcBorders/>
            <w:vAlign w:val="center"/>
          </w:tcPr>
          <w:p>
            <w:pPr>
              <w:pStyle w:val="TableContents"/>
              <w:bidi w:val="0"/>
              <w:spacing w:before="0" w:after="283"/>
              <w:jc w:val="both"/>
              <w:rPr/>
            </w:pPr>
            <w:r>
              <w:rPr/>
              <w:t>Når Warrants købes i forbindelse med en Exit som følge af salg eller overdragelse af samtlige eller en væsentlig del af Selskabets aktiver, er værdien af Warrants den rimelige markedsværdi på tidspunktet efter salget. I tilfælde af en sådan Exit skal der ved beregningen af den rimelige markedsværdi for Warrants tages højde for den købspris, Selskabet har modtaget for de solgte aktiver, med fradrag af gæld, der ikke er overdraget sammen med aktiverne, samt en forholdsmæssig andel af omkostninger, honorarer m.v. i forbindelse med transaktionen.</w:t>
            </w:r>
          </w:p>
        </w:tc>
        <w:tc>
          <w:tcPr>
            <w:tcW w:w="60" w:type="dxa"/>
            <w:tcBorders/>
            <w:vAlign w:val="center"/>
          </w:tcPr>
          <w:p>
            <w:pPr>
              <w:pStyle w:val="TableContents"/>
              <w:bidi w:val="0"/>
              <w:spacing w:before="0" w:after="283"/>
              <w:jc w:val="both"/>
              <w:rPr/>
            </w:pPr>
            <w:r>
              <w:rPr/>
              <w:t> </w:t>
            </w:r>
          </w:p>
        </w:tc>
        <w:tc>
          <w:tcPr>
            <w:tcW w:w="4320" w:type="dxa"/>
            <w:tcBorders/>
            <w:vAlign w:val="center"/>
          </w:tcPr>
          <w:p>
            <w:pPr>
              <w:pStyle w:val="TableContents"/>
              <w:bidi w:val="0"/>
              <w:spacing w:before="0" w:after="283"/>
              <w:jc w:val="both"/>
              <w:rPr/>
            </w:pPr>
            <w:r>
              <w:rPr/>
              <w:t>When the Warrants are purchased in connection with an Exit based on the sale or disposition of all or a material part of the Company's assets, the value of the Warrants shall be the fair market value at the time after such sale. In case of such Exit, the fair market value of the Warrants shall take into account the purchase price received by the Company for the assets sold, net of any debts not transferred together with the assets as well as a proportionate part of any cost, fees etc. related to the transaction.</w:t>
            </w:r>
          </w:p>
        </w:tc>
      </w:tr>
      <w:tr>
        <w:trPr/>
        <w:tc>
          <w:tcPr>
            <w:tcW w:w="518" w:type="dxa"/>
            <w:tcBorders/>
            <w:vAlign w:val="center"/>
          </w:tcPr>
          <w:p>
            <w:pPr>
              <w:pStyle w:val="TableContents"/>
              <w:bidi w:val="0"/>
              <w:spacing w:before="0" w:after="283"/>
              <w:jc w:val="left"/>
              <w:rPr/>
            </w:pPr>
            <w:r>
              <w:rPr/>
              <w:t> </w:t>
            </w:r>
          </w:p>
        </w:tc>
        <w:tc>
          <w:tcPr>
            <w:tcW w:w="530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320" w:type="dxa"/>
            <w:tcBorders/>
            <w:vAlign w:val="center"/>
          </w:tcPr>
          <w:p>
            <w:pPr>
              <w:pStyle w:val="TableContents"/>
              <w:bidi w:val="0"/>
              <w:spacing w:before="0" w:after="283"/>
              <w:jc w:val="both"/>
              <w:rPr/>
            </w:pPr>
            <w:r>
              <w:rPr/>
              <w:t> </w:t>
            </w:r>
          </w:p>
        </w:tc>
      </w:tr>
      <w:tr>
        <w:trPr/>
        <w:tc>
          <w:tcPr>
            <w:tcW w:w="518" w:type="dxa"/>
            <w:tcBorders/>
            <w:vAlign w:val="center"/>
          </w:tcPr>
          <w:p>
            <w:pPr>
              <w:pStyle w:val="TableContents"/>
              <w:bidi w:val="0"/>
              <w:spacing w:before="0" w:after="283"/>
              <w:jc w:val="left"/>
              <w:rPr/>
            </w:pPr>
            <w:r>
              <w:rPr/>
              <w:t xml:space="preserve">5.5.4 </w:t>
            </w:r>
          </w:p>
        </w:tc>
        <w:tc>
          <w:tcPr>
            <w:tcW w:w="5307" w:type="dxa"/>
            <w:tcBorders/>
            <w:vAlign w:val="center"/>
          </w:tcPr>
          <w:p>
            <w:pPr>
              <w:pStyle w:val="TableContents"/>
              <w:bidi w:val="0"/>
              <w:spacing w:before="0" w:after="283"/>
              <w:jc w:val="both"/>
              <w:rPr/>
            </w:pPr>
            <w:r>
              <w:rPr/>
              <w:t>Købsprisen for Warrants fastlagt i henhold til punkt 5.5.2 - 5.5.3 ovenfor skal betales 15 dage efter, at de sælgende kapitalejere i Selskabet har modtaget betaling for deres kapitalandele, og i tilfælde af køb i forbindelse med et salg af aktiver, når Selskabet har modtaget betaling for de solgte aktiver.</w:t>
            </w:r>
          </w:p>
        </w:tc>
        <w:tc>
          <w:tcPr>
            <w:tcW w:w="60" w:type="dxa"/>
            <w:tcBorders/>
            <w:vAlign w:val="center"/>
          </w:tcPr>
          <w:p>
            <w:pPr>
              <w:pStyle w:val="TableContents"/>
              <w:bidi w:val="0"/>
              <w:spacing w:before="0" w:after="283"/>
              <w:jc w:val="both"/>
              <w:rPr/>
            </w:pPr>
            <w:r>
              <w:rPr/>
              <w:t> </w:t>
            </w:r>
          </w:p>
        </w:tc>
        <w:tc>
          <w:tcPr>
            <w:tcW w:w="4320" w:type="dxa"/>
            <w:tcBorders/>
            <w:vAlign w:val="center"/>
          </w:tcPr>
          <w:p>
            <w:pPr>
              <w:pStyle w:val="TableContents"/>
              <w:bidi w:val="0"/>
              <w:spacing w:before="0" w:after="283"/>
              <w:jc w:val="both"/>
              <w:rPr/>
            </w:pPr>
            <w:r>
              <w:rPr/>
              <w:t>The purchase price for the Warrants determined in accordance with Clauses 5.5.2 - 5.5.3 above, as applicable, shall be paid 15 days after the selling shareholders of the Company have received payment for their shares, and in case of a purchase in connection with an asset sale, when the Company has received payment for the assets sold.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5291"/>
        <w:gridCol w:w="60"/>
        <w:gridCol w:w="230"/>
        <w:gridCol w:w="4334"/>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529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OPSIGELSE AF ANSÆTTELSESFORHOLDET</w:t>
            </w:r>
          </w:p>
        </w:tc>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6</w:t>
            </w:r>
          </w:p>
        </w:tc>
        <w:tc>
          <w:tcPr>
            <w:tcW w:w="433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TERMINATION OF EMPLOYMENT</w:t>
            </w:r>
          </w:p>
        </w:tc>
      </w:tr>
      <w:tr>
        <w:trPr/>
        <w:tc>
          <w:tcPr>
            <w:tcW w:w="290" w:type="dxa"/>
            <w:tcBorders/>
            <w:vAlign w:val="center"/>
          </w:tcPr>
          <w:p>
            <w:pPr>
              <w:pStyle w:val="TableContents"/>
              <w:bidi w:val="0"/>
              <w:spacing w:before="0" w:after="283"/>
              <w:jc w:val="left"/>
              <w:rPr/>
            </w:pPr>
            <w:r>
              <w:rPr/>
              <w:t> </w:t>
            </w:r>
          </w:p>
        </w:tc>
        <w:tc>
          <w:tcPr>
            <w:tcW w:w="529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64" w:type="dxa"/>
            <w:gridSpan w:val="2"/>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52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Selskabet opsiger Warrantindehaverens ansættelse i Selskabet med en hvilken som helst begrundelse bortset fra Warrantindehaverens misligholdelse, er Warrantindehaveren berettiget til at udnytte Warrants tildelt i henhold til denne Aftale i overensstemmelse med vilkårene i Aftalen, som om Warrantindehaveren stadig var ansat i Selskabet. Dette gælder ligeledes, hvis ansættelsesforholdet bringes til ophør, fordi Warrantindehaveren har nået den alder, der gælder for pensionering fra Selskabet, eller fordi Warrantindehaveren kan oppebære folkepension eller alderspension fra Selskabet.</w:t>
            </w:r>
          </w:p>
        </w:tc>
        <w:tc>
          <w:tcPr>
            <w:tcW w:w="60" w:type="dxa"/>
            <w:tcBorders/>
            <w:vAlign w:val="center"/>
          </w:tcPr>
          <w:p>
            <w:pPr>
              <w:pStyle w:val="TableContents"/>
              <w:bidi w:val="0"/>
              <w:spacing w:before="0" w:after="283"/>
              <w:jc w:val="both"/>
              <w:rPr/>
            </w:pPr>
            <w:r>
              <w:rPr/>
              <w:t> </w:t>
            </w:r>
          </w:p>
        </w:tc>
        <w:tc>
          <w:tcPr>
            <w:tcW w:w="456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the Company terminates the Warrantee's employment with the Company for any rea- son other than due to the Warrantee's breach (in Danish "misligholdelse"), the Warrantee shall have the right to exercise any Warrants granted pursuant to this Agreement in accordance with the terms and conditions of this Agreement as if the Warrantee continued to be employed by the Company. The same applies if the employment relationship comes to an end because the Warrantee has reached the age of retirement from the Company or is entitled to old age pension (in Danish: "folkepension") or retirement pension (in Danish: "alderspension") from the Company.</w:t>
            </w:r>
          </w:p>
        </w:tc>
      </w:tr>
      <w:tr>
        <w:trPr/>
        <w:tc>
          <w:tcPr>
            <w:tcW w:w="290" w:type="dxa"/>
            <w:tcBorders/>
            <w:vAlign w:val="center"/>
          </w:tcPr>
          <w:p>
            <w:pPr>
              <w:pStyle w:val="TableContents"/>
              <w:bidi w:val="0"/>
              <w:spacing w:before="0" w:after="283"/>
              <w:jc w:val="left"/>
              <w:rPr/>
            </w:pPr>
            <w:r>
              <w:rPr/>
              <w:t> </w:t>
            </w:r>
          </w:p>
        </w:tc>
        <w:tc>
          <w:tcPr>
            <w:tcW w:w="529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64" w:type="dxa"/>
            <w:gridSpan w:val="2"/>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52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Selskabet opsiger Warrantindehaverens ansættelse i Selskabet begrundet i Warrantindehaverens misligholdelse eller berettiget bortviser Warrantindehaveren, bortfalder samtlige Warrants, der er tildelt i henhold til denne Aftale, men som ikke er udnyttet på tidspunktet for udløbet af opsigelsesperioden.</w:t>
            </w:r>
          </w:p>
        </w:tc>
        <w:tc>
          <w:tcPr>
            <w:tcW w:w="60" w:type="dxa"/>
            <w:tcBorders/>
            <w:vAlign w:val="center"/>
          </w:tcPr>
          <w:p>
            <w:pPr>
              <w:pStyle w:val="TableContents"/>
              <w:bidi w:val="0"/>
              <w:spacing w:before="0" w:after="283"/>
              <w:jc w:val="both"/>
              <w:rPr/>
            </w:pPr>
            <w:r>
              <w:rPr/>
              <w:t> </w:t>
            </w:r>
          </w:p>
        </w:tc>
        <w:tc>
          <w:tcPr>
            <w:tcW w:w="4564"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terminates the Warrantee's employment with the Company due to the Warrantee's breach (in Danish "misligholdelse") or summarily dismisses the Warrantee for cause (in Danish "bortvisning"), all Warrants granted pursuant to this Agreement, but not exercised at the time of the expiration of the notice period, become null and void.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4851"/>
        <w:gridCol w:w="60"/>
        <w:gridCol w:w="4854"/>
      </w:tblGrid>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48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Warrantindehaveren opsiger sin ansættelse i Selskabet med en hvilken som helst begrundelse, bortset fra Selskabets grove misligholdelse, er Warrantindehaveren berettiget til at udnytte en procentdel af Warrants, der er tildelt i henhold til denne Aftale, som anført nedenfor, i overensstemmelse med vilkårene i Aftalen, som om Warrantindehaveren stadig var ansat i Selskabet.</w:t>
            </w:r>
          </w:p>
        </w:tc>
        <w:tc>
          <w:tcPr>
            <w:tcW w:w="60" w:type="dxa"/>
            <w:tcBorders/>
            <w:vAlign w:val="center"/>
          </w:tcPr>
          <w:p>
            <w:pPr>
              <w:pStyle w:val="TableContents"/>
              <w:bidi w:val="0"/>
              <w:spacing w:before="0" w:after="283"/>
              <w:jc w:val="both"/>
              <w:rPr/>
            </w:pPr>
            <w:r>
              <w:rPr/>
              <w:t> </w:t>
            </w:r>
          </w:p>
        </w:tc>
        <w:tc>
          <w:tcPr>
            <w:tcW w:w="48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Warrantee terminates the employment with the Company for any reason other than due the Company's material breach (in Danish: "grov misligholdelse") the Warrantee shall have the right to exercise such percentage of the Warrants granted pursuant to this Agreement as set out below in accordance with the terms and conditions of this Agreement as if the Warrantee continued to be employed by the Company:</w:t>
            </w:r>
          </w:p>
        </w:tc>
      </w:tr>
      <w:tr>
        <w:trPr/>
        <w:tc>
          <w:tcPr>
            <w:tcW w:w="440" w:type="dxa"/>
            <w:tcBorders/>
            <w:vAlign w:val="center"/>
          </w:tcPr>
          <w:p>
            <w:pPr>
              <w:pStyle w:val="TableContents"/>
              <w:bidi w:val="0"/>
              <w:spacing w:before="0" w:after="283"/>
              <w:jc w:val="left"/>
              <w:rPr/>
            </w:pPr>
            <w:r>
              <w:rPr/>
              <w:t> </w:t>
            </w:r>
          </w:p>
        </w:tc>
        <w:tc>
          <w:tcPr>
            <w:tcW w:w="485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54"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6.3.1</w:t>
            </w:r>
          </w:p>
        </w:tc>
        <w:tc>
          <w:tcPr>
            <w:tcW w:w="48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Warrantindehaveren opsiger sin ansættelse inden udløbet af 1 år efter Ansættelsesdatoen: ingen Warrants.</w:t>
            </w:r>
          </w:p>
        </w:tc>
        <w:tc>
          <w:tcPr>
            <w:tcW w:w="60" w:type="dxa"/>
            <w:tcBorders/>
            <w:vAlign w:val="center"/>
          </w:tcPr>
          <w:p>
            <w:pPr>
              <w:pStyle w:val="TableContents"/>
              <w:bidi w:val="0"/>
              <w:spacing w:before="0" w:after="283"/>
              <w:jc w:val="both"/>
              <w:rPr/>
            </w:pPr>
            <w:r>
              <w:rPr/>
              <w:t> </w:t>
            </w:r>
          </w:p>
        </w:tc>
        <w:tc>
          <w:tcPr>
            <w:tcW w:w="48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Warrantee serves notice of termination before the first anniversary of the Employment Date: no Warrants;</w:t>
            </w:r>
          </w:p>
        </w:tc>
      </w:tr>
      <w:tr>
        <w:trPr/>
        <w:tc>
          <w:tcPr>
            <w:tcW w:w="440" w:type="dxa"/>
            <w:tcBorders/>
            <w:vAlign w:val="center"/>
          </w:tcPr>
          <w:p>
            <w:pPr>
              <w:pStyle w:val="TableContents"/>
              <w:bidi w:val="0"/>
              <w:spacing w:before="0" w:after="283"/>
              <w:jc w:val="left"/>
              <w:rPr/>
            </w:pPr>
            <w:r>
              <w:rPr/>
              <w:t> </w:t>
            </w:r>
          </w:p>
        </w:tc>
        <w:tc>
          <w:tcPr>
            <w:tcW w:w="485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54"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6.3.2</w:t>
            </w:r>
          </w:p>
        </w:tc>
        <w:tc>
          <w:tcPr>
            <w:tcW w:w="48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Warrantindehaveren opsiger sin ansættelse inden udløbet af 2 år efter Ansættelsesdatoen: 20% af tildelte Warrants.</w:t>
            </w:r>
          </w:p>
        </w:tc>
        <w:tc>
          <w:tcPr>
            <w:tcW w:w="60" w:type="dxa"/>
            <w:tcBorders/>
            <w:vAlign w:val="center"/>
          </w:tcPr>
          <w:p>
            <w:pPr>
              <w:pStyle w:val="TableContents"/>
              <w:bidi w:val="0"/>
              <w:spacing w:before="0" w:after="283"/>
              <w:jc w:val="both"/>
              <w:rPr/>
            </w:pPr>
            <w:r>
              <w:rPr/>
              <w:t> </w:t>
            </w:r>
          </w:p>
        </w:tc>
        <w:tc>
          <w:tcPr>
            <w:tcW w:w="485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Warrantee serves notice of termination on the first anniversary and up to the day prior to the second anniversary of the Employment Date: twenty per cent (20 %) of the Warrants;</w:t>
            </w:r>
          </w:p>
        </w:tc>
      </w:tr>
      <w:tr>
        <w:trPr/>
        <w:tc>
          <w:tcPr>
            <w:tcW w:w="440" w:type="dxa"/>
            <w:tcBorders/>
            <w:vAlign w:val="center"/>
          </w:tcPr>
          <w:p>
            <w:pPr>
              <w:pStyle w:val="TableContents"/>
              <w:bidi w:val="0"/>
              <w:spacing w:before="0" w:after="283"/>
              <w:jc w:val="left"/>
              <w:rPr/>
            </w:pPr>
            <w:r>
              <w:rPr/>
              <w:t> </w:t>
            </w:r>
          </w:p>
        </w:tc>
        <w:tc>
          <w:tcPr>
            <w:tcW w:w="4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4"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6.3.3</w:t>
            </w:r>
          </w:p>
        </w:tc>
        <w:tc>
          <w:tcPr>
            <w:tcW w:w="48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Warrantindehaveren opsiger sin ansættelse inden udløbet af 3 år efter Ansættelsesdatoen: 40% af tildelte Warrants.</w:t>
            </w:r>
          </w:p>
        </w:tc>
        <w:tc>
          <w:tcPr>
            <w:tcW w:w="60" w:type="dxa"/>
            <w:tcBorders/>
            <w:vAlign w:val="center"/>
          </w:tcPr>
          <w:p>
            <w:pPr>
              <w:pStyle w:val="TableContents"/>
              <w:bidi w:val="0"/>
              <w:spacing w:before="0" w:after="283"/>
              <w:jc w:val="both"/>
              <w:rPr/>
            </w:pPr>
            <w:r>
              <w:rPr/>
              <w:t> </w:t>
            </w:r>
          </w:p>
        </w:tc>
        <w:tc>
          <w:tcPr>
            <w:tcW w:w="48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Warrantee serves notice of termination on the second anniversary and up to the day prior to the third anniversary of the Employment Date: forty per cent (40 %)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4992"/>
        <w:gridCol w:w="60"/>
        <w:gridCol w:w="4713"/>
      </w:tblGrid>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6.3.4</w:t>
            </w:r>
          </w:p>
        </w:tc>
        <w:tc>
          <w:tcPr>
            <w:tcW w:w="4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Warrantindehaveren opsiger sin ansættelse inden udløbet af 3 år efter Ansættelsesdatoen: 60% af tildelte Warrants.</w:t>
            </w:r>
          </w:p>
        </w:tc>
        <w:tc>
          <w:tcPr>
            <w:tcW w:w="60" w:type="dxa"/>
            <w:tcBorders/>
            <w:vAlign w:val="center"/>
          </w:tcPr>
          <w:p>
            <w:pPr>
              <w:pStyle w:val="TableContents"/>
              <w:bidi w:val="0"/>
              <w:spacing w:before="0" w:after="283"/>
              <w:jc w:val="both"/>
              <w:rPr/>
            </w:pPr>
            <w:r>
              <w:rPr/>
              <w:t> </w:t>
            </w:r>
          </w:p>
        </w:tc>
        <w:tc>
          <w:tcPr>
            <w:tcW w:w="471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Warrantee serves notice of termination on the third anniversary and up to the day prior to the fourth anniversary of the Employment Date: sixty per cent (60 %) of the Warrants;</w:t>
            </w:r>
          </w:p>
        </w:tc>
      </w:tr>
      <w:tr>
        <w:trPr/>
        <w:tc>
          <w:tcPr>
            <w:tcW w:w="440"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13"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6.3.5</w:t>
            </w:r>
          </w:p>
        </w:tc>
        <w:tc>
          <w:tcPr>
            <w:tcW w:w="4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Warrantindehaveren opsiger sin ansættelse inden udløbet af 4 år efter Ansættelsesdatoen: 80% af tildelte Warrants.</w:t>
            </w:r>
          </w:p>
        </w:tc>
        <w:tc>
          <w:tcPr>
            <w:tcW w:w="60" w:type="dxa"/>
            <w:tcBorders/>
            <w:vAlign w:val="center"/>
          </w:tcPr>
          <w:p>
            <w:pPr>
              <w:pStyle w:val="TableContents"/>
              <w:bidi w:val="0"/>
              <w:spacing w:before="0" w:after="283"/>
              <w:jc w:val="both"/>
              <w:rPr/>
            </w:pPr>
            <w:r>
              <w:rPr/>
              <w:t> </w:t>
            </w:r>
          </w:p>
        </w:tc>
        <w:tc>
          <w:tcPr>
            <w:tcW w:w="47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Warrantee serves notice of termination on the fourth anniversary and up to the day prior to the fifth anniversary of the Employment Date: eighty per cent (80 %) of the Warrants; and</w:t>
            </w:r>
          </w:p>
        </w:tc>
      </w:tr>
      <w:tr>
        <w:trPr/>
        <w:tc>
          <w:tcPr>
            <w:tcW w:w="440"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13"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6.3.6</w:t>
            </w:r>
          </w:p>
        </w:tc>
        <w:tc>
          <w:tcPr>
            <w:tcW w:w="4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Warrantindehaveren opsiger sin ansættelse inden udløbet af 5 år efter Ansættelsesdatoen: 100% af tildelte Warrants.</w:t>
            </w:r>
          </w:p>
        </w:tc>
        <w:tc>
          <w:tcPr>
            <w:tcW w:w="60" w:type="dxa"/>
            <w:tcBorders/>
            <w:vAlign w:val="center"/>
          </w:tcPr>
          <w:p>
            <w:pPr>
              <w:pStyle w:val="TableContents"/>
              <w:bidi w:val="0"/>
              <w:spacing w:before="0" w:after="283"/>
              <w:jc w:val="both"/>
              <w:rPr/>
            </w:pPr>
            <w:r>
              <w:rPr/>
              <w:t> </w:t>
            </w:r>
          </w:p>
        </w:tc>
        <w:tc>
          <w:tcPr>
            <w:tcW w:w="47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Warrantee serves notice of termination on or after the fifth anniversary of the Employment Date: one hundred per cent (100 %) of the Warrants.</w:t>
            </w:r>
          </w:p>
        </w:tc>
      </w:tr>
      <w:tr>
        <w:trPr/>
        <w:tc>
          <w:tcPr>
            <w:tcW w:w="440"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13"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Resterende Warrants, der ikke er udnyttet ved udløbet af opsigelsesperioden, bortfalder.</w:t>
            </w:r>
          </w:p>
        </w:tc>
        <w:tc>
          <w:tcPr>
            <w:tcW w:w="60" w:type="dxa"/>
            <w:tcBorders/>
            <w:vAlign w:val="center"/>
          </w:tcPr>
          <w:p>
            <w:pPr>
              <w:pStyle w:val="TableContents"/>
              <w:bidi w:val="0"/>
              <w:spacing w:before="0" w:after="283"/>
              <w:jc w:val="both"/>
              <w:rPr/>
            </w:pPr>
            <w:r>
              <w:rPr/>
              <w:t> </w:t>
            </w:r>
          </w:p>
        </w:tc>
        <w:tc>
          <w:tcPr>
            <w:tcW w:w="47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Remaining Warrants not exercised at the time of the expiration of the notice period, become null and void.</w:t>
            </w:r>
          </w:p>
        </w:tc>
      </w:tr>
      <w:tr>
        <w:trPr/>
        <w:tc>
          <w:tcPr>
            <w:tcW w:w="440"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13"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4992" w:type="dxa"/>
            <w:tcBorders/>
            <w:vAlign w:val="center"/>
          </w:tcPr>
          <w:p>
            <w:pPr>
              <w:pStyle w:val="TableContents"/>
              <w:bidi w:val="0"/>
              <w:spacing w:before="0" w:after="283"/>
              <w:jc w:val="both"/>
              <w:rPr/>
            </w:pPr>
            <w:r>
              <w:rPr/>
              <w:t>Hvis Warrantindehaveren opsiger sin ansættelse i Selskabet begrundet i Selskabets grove misligholdelse, er Warrantindehaveren berettiget til at udnytte Warrants tildelt i henhold til denne Aftale i overensstemmelse med vilkårene i Aftalen, som om Warrantindehaveren stadig var ansat i Selskabet.</w:t>
            </w:r>
          </w:p>
        </w:tc>
        <w:tc>
          <w:tcPr>
            <w:tcW w:w="60" w:type="dxa"/>
            <w:tcBorders/>
            <w:vAlign w:val="center"/>
          </w:tcPr>
          <w:p>
            <w:pPr>
              <w:pStyle w:val="TableContents"/>
              <w:bidi w:val="0"/>
              <w:spacing w:before="0" w:after="283"/>
              <w:jc w:val="both"/>
              <w:rPr/>
            </w:pPr>
            <w:r>
              <w:rPr/>
              <w:t> </w:t>
            </w:r>
          </w:p>
        </w:tc>
        <w:tc>
          <w:tcPr>
            <w:tcW w:w="47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that the Warrantee terminates the employment with the Company due to the Company's material breach (in Danish: "grov misligholdelse"), the Warrantee shall have the right to exercise any Warrants granted pursuant to this Agreement in accordance with the terms and conditions of this Agreement as if the Warrantee continued to be employed by the Company.</w:t>
            </w:r>
          </w:p>
        </w:tc>
      </w:tr>
      <w:tr>
        <w:trPr/>
        <w:tc>
          <w:tcPr>
            <w:tcW w:w="440"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13"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4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tilfælde af Warrantindehaverens død, vil Warrantindehaverens bo eller Warrantindehaverens overlevende ægtefælle (hvis denne sidder i uskiftet bo) være berettiget til at udnytte Warrants i overensstemmelse med vilkårene i denne Aftale.</w:t>
            </w:r>
          </w:p>
        </w:tc>
        <w:tc>
          <w:tcPr>
            <w:tcW w:w="60" w:type="dxa"/>
            <w:tcBorders/>
            <w:vAlign w:val="center"/>
          </w:tcPr>
          <w:p>
            <w:pPr>
              <w:pStyle w:val="TableContents"/>
              <w:bidi w:val="0"/>
              <w:spacing w:before="0" w:after="283"/>
              <w:jc w:val="both"/>
              <w:rPr/>
            </w:pPr>
            <w:r>
              <w:rPr/>
              <w:t> </w:t>
            </w:r>
          </w:p>
        </w:tc>
        <w:tc>
          <w:tcPr>
            <w:tcW w:w="47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of the death of the Warrantee, the estate of the Warrantee or the spouse of the Warrantee (if the surviving spouse retains undivided possession of the estate) shall have the right to exercise any Warrants in accordance with the terms and conditions of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5064"/>
        <w:gridCol w:w="60"/>
        <w:gridCol w:w="151"/>
        <w:gridCol w:w="4490"/>
      </w:tblGrid>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506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ÆNDRING I RETSSTILLING ELLER SELSKABSKAPITAL</w:t>
            </w:r>
          </w:p>
        </w:tc>
        <w:tc>
          <w:tcPr>
            <w:tcW w:w="60" w:type="dxa"/>
            <w:tcBorders/>
            <w:vAlign w:val="center"/>
          </w:tcPr>
          <w:p>
            <w:pPr>
              <w:pStyle w:val="TableContents"/>
              <w:bidi w:val="0"/>
              <w:spacing w:before="0" w:after="283"/>
              <w:jc w:val="both"/>
              <w:rPr/>
            </w:pPr>
            <w:r>
              <w:rPr/>
              <w:t> </w:t>
            </w:r>
          </w:p>
        </w:tc>
        <w:tc>
          <w:tcPr>
            <w:tcW w:w="15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7</w:t>
            </w:r>
          </w:p>
        </w:tc>
        <w:tc>
          <w:tcPr>
            <w:tcW w:w="4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CHANGE OF LEGAL STATUS OR SHARECAPITAL</w:t>
            </w:r>
          </w:p>
        </w:tc>
      </w:tr>
      <w:tr>
        <w:trPr/>
        <w:tc>
          <w:tcPr>
            <w:tcW w:w="440" w:type="dxa"/>
            <w:tcBorders/>
            <w:vAlign w:val="center"/>
          </w:tcPr>
          <w:p>
            <w:pPr>
              <w:pStyle w:val="TableContents"/>
              <w:bidi w:val="0"/>
              <w:spacing w:before="0" w:after="283"/>
              <w:jc w:val="left"/>
              <w:rPr/>
            </w:pPr>
            <w:r>
              <w:rPr/>
              <w:t> </w:t>
            </w:r>
          </w:p>
        </w:tc>
        <w:tc>
          <w:tcPr>
            <w:tcW w:w="506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41" w:type="dxa"/>
            <w:gridSpan w:val="2"/>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506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Ændring i selskabskapital</w:t>
            </w:r>
          </w:p>
        </w:tc>
        <w:tc>
          <w:tcPr>
            <w:tcW w:w="60" w:type="dxa"/>
            <w:tcBorders/>
            <w:vAlign w:val="center"/>
          </w:tcPr>
          <w:p>
            <w:pPr>
              <w:pStyle w:val="TableContents"/>
              <w:bidi w:val="0"/>
              <w:spacing w:before="0" w:after="283"/>
              <w:jc w:val="both"/>
              <w:rPr/>
            </w:pPr>
            <w:r>
              <w:rPr/>
              <w:t> </w:t>
            </w:r>
          </w:p>
        </w:tc>
        <w:tc>
          <w:tcPr>
            <w:tcW w:w="4641"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Change of Share Capital</w:t>
            </w:r>
          </w:p>
        </w:tc>
      </w:tr>
      <w:tr>
        <w:trPr/>
        <w:tc>
          <w:tcPr>
            <w:tcW w:w="440" w:type="dxa"/>
            <w:tcBorders/>
            <w:vAlign w:val="center"/>
          </w:tcPr>
          <w:p>
            <w:pPr>
              <w:pStyle w:val="TableContents"/>
              <w:bidi w:val="0"/>
              <w:spacing w:before="0" w:after="283"/>
              <w:jc w:val="left"/>
              <w:rPr/>
            </w:pPr>
            <w:r>
              <w:rPr/>
              <w:t> </w:t>
            </w:r>
          </w:p>
        </w:tc>
        <w:tc>
          <w:tcPr>
            <w:tcW w:w="506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41" w:type="dxa"/>
            <w:gridSpan w:val="2"/>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7.1.1</w:t>
            </w:r>
          </w:p>
        </w:tc>
        <w:tc>
          <w:tcPr>
            <w:tcW w:w="50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tilfælde af ændringer i Selskabets selskabskapital, herunder men ikke begrænset til:</w:t>
            </w:r>
          </w:p>
        </w:tc>
        <w:tc>
          <w:tcPr>
            <w:tcW w:w="60" w:type="dxa"/>
            <w:tcBorders/>
            <w:vAlign w:val="center"/>
          </w:tcPr>
          <w:p>
            <w:pPr>
              <w:pStyle w:val="TableContents"/>
              <w:bidi w:val="0"/>
              <w:spacing w:before="0" w:after="283"/>
              <w:jc w:val="both"/>
              <w:rPr/>
            </w:pPr>
            <w:r>
              <w:rPr/>
              <w:t> </w:t>
            </w:r>
          </w:p>
        </w:tc>
        <w:tc>
          <w:tcPr>
            <w:tcW w:w="464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case of changes in the Company's share capital including but not limited to</w:t>
            </w:r>
          </w:p>
        </w:tc>
      </w:tr>
    </w:tbl>
    <w:p>
      <w:pPr>
        <w:pStyle w:val="TextBody"/>
        <w:bidi w:val="0"/>
        <w:spacing w:before="0" w:after="0"/>
        <w:ind w:left="0" w:right="0" w:hanging="0"/>
        <w:jc w:val="left"/>
        <w:rPr>
          <w:caps w:val="false"/>
          <w:smallCaps w:val="false"/>
        </w:rPr>
      </w:pPr>
      <w:r>
        <w:rPr>
          <w:caps w:val="false"/>
          <w:smallCaps w:val="false"/>
        </w:rPr>
        <w:t> </w:t>
      </w:r>
    </w:p>
    <w:tbl>
      <w:tblPr>
        <w:tblW w:w="7115" w:type="dxa"/>
        <w:jc w:val="left"/>
        <w:tblInd w:w="0" w:type="dxa"/>
        <w:tblLayout w:type="fixed"/>
        <w:tblCellMar>
          <w:top w:w="0" w:type="dxa"/>
          <w:left w:w="0" w:type="dxa"/>
          <w:bottom w:w="0" w:type="dxa"/>
          <w:right w:w="0" w:type="dxa"/>
        </w:tblCellMar>
      </w:tblPr>
      <w:tblGrid>
        <w:gridCol w:w="75"/>
        <w:gridCol w:w="320"/>
        <w:gridCol w:w="3155"/>
        <w:gridCol w:w="60"/>
        <w:gridCol w:w="60"/>
        <w:gridCol w:w="320"/>
        <w:gridCol w:w="3125"/>
      </w:tblGrid>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forøgelse af selskabskapitalen,</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of the share capital,</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31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udstedelse af konvertible obligationer,</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of convertible bonds,</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31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udstedelse af nye tegningsretter, eller</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of new subscription rights, or</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31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nedsættelse af selskabskapitalen,</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 of the share capital,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5085"/>
        <w:gridCol w:w="60"/>
        <w:gridCol w:w="4620"/>
      </w:tblGrid>
      <w:tr>
        <w:trPr/>
        <w:tc>
          <w:tcPr>
            <w:tcW w:w="440" w:type="dxa"/>
            <w:tcBorders/>
            <w:vAlign w:val="center"/>
          </w:tcPr>
          <w:p>
            <w:pPr>
              <w:pStyle w:val="TableContents"/>
              <w:bidi w:val="0"/>
              <w:spacing w:before="0" w:after="283"/>
              <w:jc w:val="left"/>
              <w:rPr/>
            </w:pPr>
            <w:r>
              <w:rPr/>
              <w:t> </w:t>
            </w:r>
          </w:p>
        </w:tc>
        <w:tc>
          <w:tcPr>
            <w:tcW w:w="5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uanset om dette sker til en kurs, der er lig med markedskursen for Selskabets kapitalandele, eller til en overkurs, eller hvis ændringerne nævnt i 7.1.1 (i) - (iv) sker til favørkurs, sker der ingen regulering i Warrants.</w:t>
            </w:r>
          </w:p>
        </w:tc>
        <w:tc>
          <w:tcPr>
            <w:tcW w:w="60" w:type="dxa"/>
            <w:tcBorders/>
            <w:vAlign w:val="center"/>
          </w:tcPr>
          <w:p>
            <w:pPr>
              <w:pStyle w:val="TableContents"/>
              <w:bidi w:val="0"/>
              <w:spacing w:before="0" w:after="283"/>
              <w:jc w:val="both"/>
              <w:rPr/>
            </w:pPr>
            <w:r>
              <w:rPr/>
              <w:t> </w:t>
            </w:r>
          </w:p>
        </w:tc>
        <w:tc>
          <w:tcPr>
            <w:tcW w:w="4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at a rate that is equal to the market price of the shares of the Company or at premium rate ("overkurs"), or if the changes mentioned in Clause 7.1.1 (i) - (iv) are made at a special price ("favørkurs") no regulation of Warrants shall occur.</w:t>
            </w:r>
          </w:p>
        </w:tc>
      </w:tr>
      <w:tr>
        <w:trPr/>
        <w:tc>
          <w:tcPr>
            <w:tcW w:w="440" w:type="dxa"/>
            <w:tcBorders/>
            <w:vAlign w:val="center"/>
          </w:tcPr>
          <w:p>
            <w:pPr>
              <w:pStyle w:val="TableContents"/>
              <w:bidi w:val="0"/>
              <w:spacing w:before="0" w:after="283"/>
              <w:jc w:val="left"/>
              <w:rPr/>
            </w:pPr>
            <w:r>
              <w:rPr/>
              <w:t> </w:t>
            </w:r>
          </w:p>
        </w:tc>
        <w:tc>
          <w:tcPr>
            <w:tcW w:w="50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20"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7.1.2</w:t>
            </w:r>
          </w:p>
        </w:tc>
        <w:tc>
          <w:tcPr>
            <w:tcW w:w="5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den nominelle værdi af Selskabets kapitalandele ændres, skal antallet af Warrants (antal af kapitalandele) og/eller Udnyttelsesprisen tilpasses, således at værdien af Warrants ikke bliver påvirket af sådanne ændringer.</w:t>
            </w:r>
          </w:p>
        </w:tc>
        <w:tc>
          <w:tcPr>
            <w:tcW w:w="60" w:type="dxa"/>
            <w:tcBorders/>
            <w:vAlign w:val="center"/>
          </w:tcPr>
          <w:p>
            <w:pPr>
              <w:pStyle w:val="TableContents"/>
              <w:bidi w:val="0"/>
              <w:spacing w:before="0" w:after="283"/>
              <w:jc w:val="both"/>
              <w:rPr/>
            </w:pPr>
            <w:r>
              <w:rPr/>
              <w:t> </w:t>
            </w:r>
          </w:p>
        </w:tc>
        <w:tc>
          <w:tcPr>
            <w:tcW w:w="4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nominal value of the shares of the Company is amended, the number of Warrants (number of shares) and/or the Exercise Price shall be adjusted, so that the value of the Warrants is not affected by the said amendments.</w:t>
            </w:r>
          </w:p>
        </w:tc>
      </w:tr>
      <w:tr>
        <w:trPr/>
        <w:tc>
          <w:tcPr>
            <w:tcW w:w="440" w:type="dxa"/>
            <w:tcBorders/>
            <w:vAlign w:val="center"/>
          </w:tcPr>
          <w:p>
            <w:pPr>
              <w:pStyle w:val="TableContents"/>
              <w:bidi w:val="0"/>
              <w:spacing w:before="0" w:after="283"/>
              <w:jc w:val="left"/>
              <w:rPr/>
            </w:pPr>
            <w:r>
              <w:rPr/>
              <w:t> </w:t>
            </w:r>
          </w:p>
        </w:tc>
        <w:tc>
          <w:tcPr>
            <w:tcW w:w="50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20"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7.1.3</w:t>
            </w:r>
          </w:p>
        </w:tc>
        <w:tc>
          <w:tcPr>
            <w:tcW w:w="5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selskabskapitalen nedsættes til dækning af tab, skal antallet af kapitalandele, som Warrantindehaveren kan tegne gennem udnyttelse af Warrants, reduceres (nedrundet) forholdsmæssigt til den nominelle reduktion af kapitalen sammenholdt med Selskabets totale nominelle selskabskapital før reduktionen.</w:t>
            </w:r>
          </w:p>
        </w:tc>
        <w:tc>
          <w:tcPr>
            <w:tcW w:w="60" w:type="dxa"/>
            <w:tcBorders/>
            <w:vAlign w:val="center"/>
          </w:tcPr>
          <w:p>
            <w:pPr>
              <w:pStyle w:val="TableContents"/>
              <w:bidi w:val="0"/>
              <w:spacing w:before="0" w:after="283"/>
              <w:jc w:val="both"/>
              <w:rPr/>
            </w:pPr>
            <w:r>
              <w:rPr/>
              <w:t> </w:t>
            </w:r>
          </w:p>
        </w:tc>
        <w:tc>
          <w:tcPr>
            <w:tcW w:w="4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 capital is reduced in order to cover losses, the number of shares for which the Warrantee may subscribe by exercising the Warrants shall be reduced (rounded down) proportionately to the nominal reduction of the capital compared to the total nominal share capital of the Company before the reduction.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25" w:type="dxa"/>
        <w:jc w:val="left"/>
        <w:tblInd w:w="0" w:type="dxa"/>
        <w:tblLayout w:type="fixed"/>
        <w:tblCellMar>
          <w:top w:w="0" w:type="dxa"/>
          <w:left w:w="0" w:type="dxa"/>
          <w:bottom w:w="0" w:type="dxa"/>
          <w:right w:w="0" w:type="dxa"/>
        </w:tblCellMar>
      </w:tblPr>
      <w:tblGrid>
        <w:gridCol w:w="440"/>
        <w:gridCol w:w="2495"/>
        <w:gridCol w:w="60"/>
        <w:gridCol w:w="2030"/>
      </w:tblGrid>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24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Andre ændringer</w:t>
            </w:r>
          </w:p>
        </w:tc>
        <w:tc>
          <w:tcPr>
            <w:tcW w:w="60" w:type="dxa"/>
            <w:tcBorders/>
            <w:vAlign w:val="center"/>
          </w:tcPr>
          <w:p>
            <w:pPr>
              <w:pStyle w:val="TableContents"/>
              <w:bidi w:val="0"/>
              <w:spacing w:before="0" w:after="283"/>
              <w:jc w:val="both"/>
              <w:rPr/>
            </w:pPr>
            <w:r>
              <w:rPr/>
              <w:t> </w:t>
            </w:r>
          </w:p>
        </w:tc>
        <w:tc>
          <w:tcPr>
            <w:tcW w:w="20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Changes</w:t>
            </w:r>
          </w:p>
        </w:tc>
      </w:tr>
      <w:tr>
        <w:trPr/>
        <w:tc>
          <w:tcPr>
            <w:tcW w:w="44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030"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7.2.1</w:t>
            </w:r>
          </w:p>
        </w:tc>
        <w:tc>
          <w:tcPr>
            <w:tcW w:w="2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der træffes beslutning om</w:t>
            </w:r>
          </w:p>
        </w:tc>
        <w:tc>
          <w:tcPr>
            <w:tcW w:w="60" w:type="dxa"/>
            <w:tcBorders/>
            <w:vAlign w:val="center"/>
          </w:tcPr>
          <w:p>
            <w:pPr>
              <w:pStyle w:val="TableContents"/>
              <w:bidi w:val="0"/>
              <w:spacing w:before="0" w:after="283"/>
              <w:jc w:val="both"/>
              <w:rPr/>
            </w:pPr>
            <w:r>
              <w:rPr/>
              <w:t> </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resolution is made 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9"/>
        <w:gridCol w:w="5093"/>
        <w:gridCol w:w="60"/>
        <w:gridCol w:w="60"/>
        <w:gridCol w:w="279"/>
        <w:gridCol w:w="4359"/>
      </w:tblGrid>
      <w:tr>
        <w:trPr/>
        <w:tc>
          <w:tcPr>
            <w:tcW w:w="7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50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likvidere eller afvikle Selskabet,</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43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liquidate or wind up the Company,</w:t>
            </w:r>
          </w:p>
        </w:tc>
      </w:tr>
      <w:tr>
        <w:trPr/>
        <w:tc>
          <w:tcPr>
            <w:tcW w:w="7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pPr>
            <w:r>
              <w:rPr/>
              <w:t> </w:t>
            </w:r>
          </w:p>
        </w:tc>
        <w:tc>
          <w:tcPr>
            <w:tcW w:w="509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pPr>
            <w:r>
              <w:rPr/>
              <w:t> </w:t>
            </w:r>
          </w:p>
        </w:tc>
        <w:tc>
          <w:tcPr>
            <w:tcW w:w="435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50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spalte Selskabet eller</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43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demerge the Company, or</w:t>
            </w:r>
          </w:p>
        </w:tc>
      </w:tr>
      <w:tr>
        <w:trPr/>
        <w:tc>
          <w:tcPr>
            <w:tcW w:w="7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pPr>
            <w:r>
              <w:rPr/>
              <w:t> </w:t>
            </w:r>
          </w:p>
        </w:tc>
        <w:tc>
          <w:tcPr>
            <w:tcW w:w="509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pPr>
            <w:r>
              <w:rPr/>
              <w:t> </w:t>
            </w:r>
          </w:p>
        </w:tc>
        <w:tc>
          <w:tcPr>
            <w:tcW w:w="435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50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gennemføre en kapitalandelsombytning, der omfatter samtlige kapitalandele i Selskabet (oprettelse af et holdingselskab/apportindskud),</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43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 an exchange of shares which includes all shares in the Company (establishment of a holding company/non-cash contribution),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5258"/>
        <w:gridCol w:w="60"/>
        <w:gridCol w:w="4447"/>
      </w:tblGrid>
      <w:tr>
        <w:trPr/>
        <w:tc>
          <w:tcPr>
            <w:tcW w:w="440" w:type="dxa"/>
            <w:tcBorders/>
            <w:vAlign w:val="center"/>
          </w:tcPr>
          <w:p>
            <w:pPr>
              <w:pStyle w:val="TableContents"/>
              <w:bidi w:val="0"/>
              <w:spacing w:before="0" w:after="283"/>
              <w:jc w:val="left"/>
              <w:rPr/>
            </w:pPr>
            <w:r>
              <w:rPr/>
              <w:t> </w:t>
            </w:r>
          </w:p>
        </w:tc>
        <w:tc>
          <w:tcPr>
            <w:tcW w:w="52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er Warrantindehaveren berettiget til at udnytte Warrants på ikrafttrædelsesdatoen for den relevante ændring, jf. dog punkt 7.2.2. Selskabets Bestyrelse skal skriftligt meddele Warrantindehaveren, hvis der træffes en af de ovennævnte beslutninger, og Warrantindehaveren kan udnytte samtlige Warrants inden for 30 dage fra datoen for meddelelsen. Samtlige Warrants, som Selskabets Bestyrelse ikke har modtaget en Udnyttelsesmeddelelse for inden udgangen af 30 dages fristen, bortfalder automatisk uden yderligere varsel eller kompensation, medmindre de erstattes i henhold til punkt 7.2.2.</w:t>
            </w:r>
          </w:p>
        </w:tc>
        <w:tc>
          <w:tcPr>
            <w:tcW w:w="60" w:type="dxa"/>
            <w:tcBorders/>
            <w:vAlign w:val="center"/>
          </w:tcPr>
          <w:p>
            <w:pPr>
              <w:pStyle w:val="TableContents"/>
              <w:bidi w:val="0"/>
              <w:spacing w:before="0" w:after="283"/>
              <w:jc w:val="both"/>
              <w:rPr/>
            </w:pPr>
            <w:r>
              <w:rPr/>
              <w:t> </w:t>
            </w:r>
          </w:p>
        </w:tc>
        <w:tc>
          <w:tcPr>
            <w:tcW w:w="44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Warrantee shall be entitled to exercise their Warrants on the effective date of the relevant change, see however Clause 7.2.2. The Company's Board shall give written notice to the Warrantee if one of the above resolutions is made and the Warrantee may exercise all such Warrants within 30 days from the date of such notice. If the Board has not received an Exercise Notice prior to the expiry of the 30 days' notice the Warrants will automatically and without further notice be cancelled and become void without notice or compensation unless replaced in accordance with Clause 7.2.2.</w:t>
            </w:r>
          </w:p>
        </w:tc>
      </w:tr>
      <w:tr>
        <w:trPr/>
        <w:tc>
          <w:tcPr>
            <w:tcW w:w="440" w:type="dxa"/>
            <w:tcBorders/>
            <w:vAlign w:val="center"/>
          </w:tcPr>
          <w:p>
            <w:pPr>
              <w:pStyle w:val="TableContents"/>
              <w:bidi w:val="0"/>
              <w:spacing w:before="0" w:after="283"/>
              <w:jc w:val="left"/>
              <w:rPr/>
            </w:pPr>
            <w:r>
              <w:rPr/>
              <w:t> </w:t>
            </w:r>
          </w:p>
        </w:tc>
        <w:tc>
          <w:tcPr>
            <w:tcW w:w="525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47"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7.2.2</w:t>
            </w:r>
          </w:p>
        </w:tc>
        <w:tc>
          <w:tcPr>
            <w:tcW w:w="52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Selskabet indgår i en fusion, spaltning eller kapitalandelsombytning, der omfatter samtlige kapitalandele i Selskabet (oprettelse af et holdingselskab/apportindskud), er Selskabet berettiget, men ikke forpligtet til at anmode om, at Warrants erstattes med retten til at tegne kapitalandele i de(t) modtagende selskab(er), forudsat at de(t) fortsættende selskab(er) er enig heri.</w:t>
            </w:r>
          </w:p>
        </w:tc>
        <w:tc>
          <w:tcPr>
            <w:tcW w:w="60" w:type="dxa"/>
            <w:tcBorders/>
            <w:vAlign w:val="center"/>
          </w:tcPr>
          <w:p>
            <w:pPr>
              <w:pStyle w:val="TableContents"/>
              <w:bidi w:val="0"/>
              <w:spacing w:before="0" w:after="283"/>
              <w:jc w:val="both"/>
              <w:rPr/>
            </w:pPr>
            <w:r>
              <w:rPr/>
              <w:t> </w:t>
            </w:r>
          </w:p>
        </w:tc>
        <w:tc>
          <w:tcPr>
            <w:tcW w:w="44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of contribution of the Company by merger, de-merger or an exchange of shares which includes all shares in the Company (establishment of a holding company/non-cash contribution) the Company shall have the right, but not the obligation, to request that the Warrants are replaced by the right to subscribe to shares in the receiving company(ies) subject to written approval by the continuing company(ies).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5061"/>
        <w:gridCol w:w="60"/>
        <w:gridCol w:w="251"/>
        <w:gridCol w:w="4693"/>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506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TEGNING AF KAPITALANDELE</w:t>
            </w:r>
          </w:p>
        </w:tc>
        <w:tc>
          <w:tcPr>
            <w:tcW w:w="60" w:type="dxa"/>
            <w:tcBorders/>
            <w:vAlign w:val="center"/>
          </w:tcPr>
          <w:p>
            <w:pPr>
              <w:pStyle w:val="TableContents"/>
              <w:bidi w:val="0"/>
              <w:spacing w:before="0" w:after="283"/>
              <w:jc w:val="both"/>
              <w:rPr/>
            </w:pPr>
            <w:r>
              <w:rPr/>
              <w:t> </w:t>
            </w:r>
          </w:p>
        </w:tc>
        <w:tc>
          <w:tcPr>
            <w:tcW w:w="25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8</w:t>
            </w:r>
          </w:p>
        </w:tc>
        <w:tc>
          <w:tcPr>
            <w:tcW w:w="469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SUBSCRIPTION OF SHARES</w:t>
            </w:r>
          </w:p>
        </w:tc>
      </w:tr>
      <w:tr>
        <w:trPr/>
        <w:tc>
          <w:tcPr>
            <w:tcW w:w="140" w:type="dxa"/>
            <w:tcBorders/>
            <w:vAlign w:val="center"/>
          </w:tcPr>
          <w:p>
            <w:pPr>
              <w:pStyle w:val="TableContents"/>
              <w:bidi w:val="0"/>
              <w:spacing w:before="0" w:after="283"/>
              <w:jc w:val="left"/>
              <w:rPr/>
            </w:pPr>
            <w:r>
              <w:rPr/>
              <w:t> </w:t>
            </w:r>
          </w:p>
        </w:tc>
        <w:tc>
          <w:tcPr>
            <w:tcW w:w="50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44" w:type="dxa"/>
            <w:gridSpan w:val="2"/>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left"/>
              <w:rPr/>
            </w:pPr>
            <w:r>
              <w:rPr/>
              <w:t> </w:t>
            </w:r>
          </w:p>
        </w:tc>
        <w:tc>
          <w:tcPr>
            <w:tcW w:w="50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Ved udnyttelse af et hvilket som helst antal Warrants gælder følgende for tegning af nye kapitalandele:</w:t>
            </w:r>
          </w:p>
        </w:tc>
        <w:tc>
          <w:tcPr>
            <w:tcW w:w="60" w:type="dxa"/>
            <w:tcBorders/>
            <w:vAlign w:val="center"/>
          </w:tcPr>
          <w:p>
            <w:pPr>
              <w:pStyle w:val="TableContents"/>
              <w:bidi w:val="0"/>
              <w:spacing w:before="0" w:after="283"/>
              <w:jc w:val="both"/>
              <w:rPr/>
            </w:pPr>
            <w:r>
              <w:rPr/>
              <w:t> </w:t>
            </w:r>
          </w:p>
        </w:tc>
        <w:tc>
          <w:tcPr>
            <w:tcW w:w="494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exercise of any part of the Warrants, the following will apply for the subscription of new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4836"/>
        <w:gridCol w:w="60"/>
        <w:gridCol w:w="60"/>
        <w:gridCol w:w="267"/>
        <w:gridCol w:w="4640"/>
      </w:tblGrid>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4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andre kapitalejere i Selskabet har ikke fortegningsret med hensyn til Warrants eller kapitalandele udstedt gennem udnyttelse af Warrants.</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4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other shareholders of the Company have no preemption rights with respect to the Warrants or shares issued by exercise of the Warrants.</w:t>
            </w:r>
          </w:p>
        </w:tc>
      </w:tr>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pPr>
            <w:r>
              <w:rPr/>
              <w:t> </w:t>
            </w:r>
          </w:p>
        </w:tc>
        <w:tc>
          <w:tcPr>
            <w:tcW w:w="48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4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Betaling af tegningsbeløbet og tegning af kapitalandele skal finde sted samtidigt. Warrantindehaverens rettigheder som kapitalejer efter udnyttelse af samtlige Warrants eller en del heraf træder i kraft, når uigenkaldelig kontant betaling til Selskabet har fundet sted. Selskabet skal registrere Warrantindehaveren som kapitalejer i Selskabets ejerbog.</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4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of the subscription amount and subscription of shares shall take place simultaneously. The Warrantee's rights as a shareholder following exercise of the Warrants or part thereof shall come into force when an irrevocable cash payment has been made to the Company. The Company shall register the Warrantee as a shareholder in the Company's share register.</w:t>
            </w:r>
          </w:p>
        </w:tc>
      </w:tr>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pPr>
            <w:r>
              <w:rPr/>
              <w:t> </w:t>
            </w:r>
          </w:p>
        </w:tc>
        <w:tc>
          <w:tcPr>
            <w:tcW w:w="48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4836" w:type="dxa"/>
            <w:tcBorders/>
            <w:vAlign w:val="center"/>
          </w:tcPr>
          <w:p>
            <w:pPr>
              <w:pStyle w:val="TableContents"/>
              <w:bidi w:val="0"/>
              <w:spacing w:before="0" w:after="283"/>
              <w:jc w:val="both"/>
              <w:rPr/>
            </w:pPr>
            <w:r>
              <w:rPr/>
              <w:t>De nye kapitalandele udstedes i kapitalandele à nominelt kr. 1 eller multipla heraf.</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4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are issued in shares of nominally DKK 1 or multiples hereof.</w:t>
            </w:r>
          </w:p>
        </w:tc>
      </w:tr>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pPr>
            <w:r>
              <w:rPr/>
              <w:t> </w:t>
            </w:r>
          </w:p>
        </w:tc>
        <w:tc>
          <w:tcPr>
            <w:tcW w:w="48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4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kapitalandele skal udstedes på navn, indføres i Selskabets ejerbog og er ikke-omsættelige.</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4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are issued on name, shall be registered in the Company's share register and are non-negotiable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74"/>
        <w:gridCol w:w="5035"/>
        <w:gridCol w:w="60"/>
        <w:gridCol w:w="60"/>
        <w:gridCol w:w="374"/>
        <w:gridCol w:w="4227"/>
      </w:tblGrid>
      <w:tr>
        <w:trPr/>
        <w:tc>
          <w:tcPr>
            <w:tcW w:w="75"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w:t>
            </w:r>
          </w:p>
        </w:tc>
        <w:tc>
          <w:tcPr>
            <w:tcW w:w="5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Restriktionerne på eksisterende kapitalandele vedrørende omsættelighed gælder også for de nye kapitalandele.</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w:t>
            </w:r>
          </w:p>
        </w:tc>
        <w:tc>
          <w:tcPr>
            <w:tcW w:w="42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restrictions on the current shares as to negotiability shall also apply for the new shares.</w:t>
            </w:r>
          </w:p>
        </w:tc>
      </w:tr>
      <w:tr>
        <w:trPr/>
        <w:tc>
          <w:tcPr>
            <w:tcW w:w="75"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pPr>
            <w:r>
              <w:rPr/>
              <w:t> </w:t>
            </w:r>
          </w:p>
        </w:tc>
        <w:tc>
          <w:tcPr>
            <w:tcW w:w="50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pPr>
            <w:r>
              <w:rPr/>
              <w:t> </w:t>
            </w:r>
          </w:p>
        </w:tc>
        <w:tc>
          <w:tcPr>
            <w:tcW w:w="42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w:t>
            </w:r>
          </w:p>
        </w:tc>
        <w:tc>
          <w:tcPr>
            <w:tcW w:w="5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Fortegningsret for nye kapitalandele i forbindelse med fremtidige kapitalforhøjelser er begrænsede for så vidt angår udstedelse af warrants eller tegning af kapitalandele gennem udnyttelse af sådanne warrants eller ved andre begivenheder i henhold til generalforsamlingens beslutning.</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w:t>
            </w:r>
          </w:p>
        </w:tc>
        <w:tc>
          <w:tcPr>
            <w:tcW w:w="42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pre-emptive rights of the new shares in connection with future capital increases shall be limited in connection with the issuance of warrants or subscription of shares by exercising such warrants or other events as decided by the general meeting of the Company.</w:t>
            </w:r>
          </w:p>
        </w:tc>
      </w:tr>
      <w:tr>
        <w:trPr/>
        <w:tc>
          <w:tcPr>
            <w:tcW w:w="75"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pPr>
            <w:r>
              <w:rPr/>
              <w:t> </w:t>
            </w:r>
          </w:p>
        </w:tc>
        <w:tc>
          <w:tcPr>
            <w:tcW w:w="50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pPr>
            <w:r>
              <w:rPr/>
              <w:t> </w:t>
            </w:r>
          </w:p>
        </w:tc>
        <w:tc>
          <w:tcPr>
            <w:tcW w:w="42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(vii)</w:t>
            </w:r>
          </w:p>
        </w:tc>
        <w:tc>
          <w:tcPr>
            <w:tcW w:w="5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kapitalandele giver ret til dividende og andre rettigheder i Selskabet til enhver tid, når den relevante kapitalforhøjelse er registreret i Erhvervsstyrelsen.</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(vii)</w:t>
            </w:r>
          </w:p>
        </w:tc>
        <w:tc>
          <w:tcPr>
            <w:tcW w:w="42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shall carry a right to dividend and other rights in the Company from the time when the relevant capital increase has been registered with the Danish Business Authority.</w:t>
            </w:r>
          </w:p>
        </w:tc>
      </w:tr>
      <w:tr>
        <w:trPr/>
        <w:tc>
          <w:tcPr>
            <w:tcW w:w="75"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pPr>
            <w:r>
              <w:rPr/>
              <w:t> </w:t>
            </w:r>
          </w:p>
        </w:tc>
        <w:tc>
          <w:tcPr>
            <w:tcW w:w="50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pPr>
            <w:r>
              <w:rPr/>
              <w:t> </w:t>
            </w:r>
          </w:p>
        </w:tc>
        <w:tc>
          <w:tcPr>
            <w:tcW w:w="42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(viii)</w:t>
            </w:r>
          </w:p>
        </w:tc>
        <w:tc>
          <w:tcPr>
            <w:tcW w:w="5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betaler omkostningerne i forbindelse med udstedelse og udnyttelse af Warrants.</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(viii)</w:t>
            </w:r>
          </w:p>
        </w:tc>
        <w:tc>
          <w:tcPr>
            <w:tcW w:w="42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pay the costs in connection with the issuance and exercise of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5166"/>
        <w:gridCol w:w="60"/>
        <w:gridCol w:w="1091"/>
        <w:gridCol w:w="3598"/>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516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SKAT</w:t>
            </w:r>
          </w:p>
        </w:tc>
        <w:tc>
          <w:tcPr>
            <w:tcW w:w="60" w:type="dxa"/>
            <w:tcBorders/>
            <w:vAlign w:val="center"/>
          </w:tcPr>
          <w:p>
            <w:pPr>
              <w:pStyle w:val="TableContents"/>
              <w:bidi w:val="0"/>
              <w:spacing w:before="0" w:after="283"/>
              <w:jc w:val="both"/>
              <w:rPr/>
            </w:pPr>
            <w:r>
              <w:rPr/>
              <w:t> </w:t>
            </w:r>
          </w:p>
        </w:tc>
        <w:tc>
          <w:tcPr>
            <w:tcW w:w="109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w:t>
            </w:r>
          </w:p>
        </w:tc>
        <w:tc>
          <w:tcPr>
            <w:tcW w:w="359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TAX</w:t>
            </w:r>
          </w:p>
        </w:tc>
      </w:tr>
      <w:tr>
        <w:trPr/>
        <w:tc>
          <w:tcPr>
            <w:tcW w:w="290" w:type="dxa"/>
            <w:tcBorders/>
            <w:vAlign w:val="center"/>
          </w:tcPr>
          <w:p>
            <w:pPr>
              <w:pStyle w:val="TableContents"/>
              <w:bidi w:val="0"/>
              <w:spacing w:before="0" w:after="283"/>
              <w:jc w:val="left"/>
              <w:rPr/>
            </w:pPr>
            <w:r>
              <w:rPr/>
              <w:t> </w:t>
            </w:r>
          </w:p>
        </w:tc>
        <w:tc>
          <w:tcPr>
            <w:tcW w:w="516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89" w:type="dxa"/>
            <w:gridSpan w:val="2"/>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51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Punkterne 9.2 - 9.4 finder anvendelse, hvis Warrantindehaveren er ansat i Selskabet:</w:t>
            </w:r>
          </w:p>
        </w:tc>
        <w:tc>
          <w:tcPr>
            <w:tcW w:w="60" w:type="dxa"/>
            <w:tcBorders/>
            <w:vAlign w:val="center"/>
          </w:tcPr>
          <w:p>
            <w:pPr>
              <w:pStyle w:val="TableContents"/>
              <w:bidi w:val="0"/>
              <w:spacing w:before="0" w:after="283"/>
              <w:jc w:val="both"/>
              <w:rPr/>
            </w:pPr>
            <w:r>
              <w:rPr/>
              <w:t> </w:t>
            </w:r>
          </w:p>
        </w:tc>
        <w:tc>
          <w:tcPr>
            <w:tcW w:w="468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Clauses 9.2 - 9.4 shall apply provided the Warrantee is an employee of the Company:</w:t>
            </w:r>
          </w:p>
        </w:tc>
      </w:tr>
      <w:tr>
        <w:trPr/>
        <w:tc>
          <w:tcPr>
            <w:tcW w:w="290" w:type="dxa"/>
            <w:tcBorders/>
            <w:vAlign w:val="center"/>
          </w:tcPr>
          <w:p>
            <w:pPr>
              <w:pStyle w:val="TableContents"/>
              <w:bidi w:val="0"/>
              <w:spacing w:before="0" w:after="283"/>
              <w:jc w:val="left"/>
              <w:rPr/>
            </w:pPr>
            <w:r>
              <w:rPr/>
              <w:t> </w:t>
            </w:r>
          </w:p>
        </w:tc>
        <w:tc>
          <w:tcPr>
            <w:tcW w:w="516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89" w:type="dxa"/>
            <w:gridSpan w:val="2"/>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51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er underlagt ligningslovens § 7 P.</w:t>
            </w:r>
          </w:p>
        </w:tc>
        <w:tc>
          <w:tcPr>
            <w:tcW w:w="60" w:type="dxa"/>
            <w:tcBorders/>
            <w:vAlign w:val="center"/>
          </w:tcPr>
          <w:p>
            <w:pPr>
              <w:pStyle w:val="TableContents"/>
              <w:bidi w:val="0"/>
              <w:spacing w:before="0" w:after="283"/>
              <w:jc w:val="both"/>
              <w:rPr/>
            </w:pPr>
            <w:r>
              <w:rPr/>
              <w:t> </w:t>
            </w:r>
          </w:p>
        </w:tc>
        <w:tc>
          <w:tcPr>
            <w:tcW w:w="468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shall to the extent possible be subject to Section 7 P of the Danish Tax Assessment Act.</w:t>
            </w:r>
          </w:p>
        </w:tc>
      </w:tr>
      <w:tr>
        <w:trPr/>
        <w:tc>
          <w:tcPr>
            <w:tcW w:w="290" w:type="dxa"/>
            <w:tcBorders/>
            <w:vAlign w:val="center"/>
          </w:tcPr>
          <w:p>
            <w:pPr>
              <w:pStyle w:val="TableContents"/>
              <w:bidi w:val="0"/>
              <w:spacing w:before="0" w:after="283"/>
              <w:jc w:val="left"/>
              <w:rPr/>
            </w:pPr>
            <w:r>
              <w:rPr/>
              <w:t> </w:t>
            </w:r>
          </w:p>
        </w:tc>
        <w:tc>
          <w:tcPr>
            <w:tcW w:w="516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89" w:type="dxa"/>
            <w:gridSpan w:val="2"/>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51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har vurderet værdien af de tildelte warrants til DKK 1.074,72 pr. styk baseret (før justering for fondsaktieudstedelse og aktiesplit af 4. januar 2021).</w:t>
            </w:r>
          </w:p>
        </w:tc>
        <w:tc>
          <w:tcPr>
            <w:tcW w:w="60" w:type="dxa"/>
            <w:tcBorders/>
            <w:vAlign w:val="center"/>
          </w:tcPr>
          <w:p>
            <w:pPr>
              <w:pStyle w:val="TableContents"/>
              <w:bidi w:val="0"/>
              <w:spacing w:before="0" w:after="283"/>
              <w:jc w:val="both"/>
              <w:rPr/>
            </w:pPr>
            <w:r>
              <w:rPr/>
              <w:t> </w:t>
            </w:r>
          </w:p>
        </w:tc>
        <w:tc>
          <w:tcPr>
            <w:tcW w:w="468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assessed the value of each granted warrant as DKK 1,074.72 (before adjustment for bonus shares and share split adopted on 4 January 2021).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4736"/>
        <w:gridCol w:w="60"/>
        <w:gridCol w:w="442"/>
        <w:gridCol w:w="4572"/>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47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giver ikke Warrantindehaveren nogen garanti for, at Warrants beskattes efter ligningslovens § 7 P med eventuelle senere ændringer, herunder om kravene til anvendelse af bestemmelsen ikke er opfyldt, eller om bestemmelsen fremover er ændret eller ophævet.</w:t>
            </w:r>
          </w:p>
        </w:tc>
        <w:tc>
          <w:tcPr>
            <w:tcW w:w="60" w:type="dxa"/>
            <w:tcBorders/>
            <w:vAlign w:val="center"/>
          </w:tcPr>
          <w:p>
            <w:pPr>
              <w:pStyle w:val="TableContents"/>
              <w:bidi w:val="0"/>
              <w:spacing w:before="0" w:after="283"/>
              <w:jc w:val="both"/>
              <w:rPr/>
            </w:pPr>
            <w:r>
              <w:rPr/>
              <w:t> </w:t>
            </w:r>
          </w:p>
        </w:tc>
        <w:tc>
          <w:tcPr>
            <w:tcW w:w="501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does not make any guarantees to the Warrantee that the Warrantee will be subject to the tax treatment under Section 7 P of the Danish Tax Assessment Act, as amended from time to time, including whether the requirements for the application of the provision are not met or if the provision is altered or repealed in the future.</w:t>
            </w:r>
          </w:p>
        </w:tc>
      </w:tr>
      <w:tr>
        <w:trPr/>
        <w:tc>
          <w:tcPr>
            <w:tcW w:w="395" w:type="dxa"/>
            <w:tcBorders/>
            <w:vAlign w:val="center"/>
          </w:tcPr>
          <w:p>
            <w:pPr>
              <w:pStyle w:val="TableContents"/>
              <w:bidi w:val="0"/>
              <w:spacing w:before="0" w:after="283"/>
              <w:jc w:val="left"/>
              <w:rPr/>
            </w:pPr>
            <w:r>
              <w:rPr/>
              <w:t> </w:t>
            </w:r>
          </w:p>
        </w:tc>
        <w:tc>
          <w:tcPr>
            <w:tcW w:w="47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14"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w:t>
            </w:r>
          </w:p>
        </w:tc>
        <w:tc>
          <w:tcPr>
            <w:tcW w:w="47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skattemæssige konsekvenser for Warrantindehaveren i forbindelse med denne Aftale, herunder men ikke begrænset til erhvervelse og/eller tildeling af Warrants, og/eller skattemæssige konsekvenser i forbindelse med udnyttelse af Warrants, er Selskabet uvedkommende. Warrantindehaveren opfordres til at søge skattemæssig rådgivning i forbindelse med indgåelsen af denne Aftale.</w:t>
            </w:r>
          </w:p>
        </w:tc>
        <w:tc>
          <w:tcPr>
            <w:tcW w:w="60" w:type="dxa"/>
            <w:tcBorders/>
            <w:vAlign w:val="center"/>
          </w:tcPr>
          <w:p>
            <w:pPr>
              <w:pStyle w:val="TableContents"/>
              <w:bidi w:val="0"/>
              <w:spacing w:before="0" w:after="283"/>
              <w:jc w:val="both"/>
              <w:rPr/>
            </w:pPr>
            <w:r>
              <w:rPr/>
              <w:t> </w:t>
            </w:r>
          </w:p>
        </w:tc>
        <w:tc>
          <w:tcPr>
            <w:tcW w:w="501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tax consequences for the Warrantee arising in connection with or out of this Agreement, including but not limited to the acquisition and/or granting of the Warrants and/or the tax consequences in connection with the exercise of the Warrants, are of no concern to the Company. The Warrantee is strongly encouraged to seek tax advice in connection with entering into this Agreement.</w:t>
            </w:r>
          </w:p>
        </w:tc>
      </w:tr>
      <w:tr>
        <w:trPr/>
        <w:tc>
          <w:tcPr>
            <w:tcW w:w="395" w:type="dxa"/>
            <w:tcBorders/>
            <w:vAlign w:val="center"/>
          </w:tcPr>
          <w:p>
            <w:pPr>
              <w:pStyle w:val="TableContents"/>
              <w:bidi w:val="0"/>
              <w:spacing w:before="0" w:after="283"/>
              <w:jc w:val="left"/>
              <w:rPr/>
            </w:pPr>
            <w:r>
              <w:rPr/>
              <w:t> </w:t>
            </w:r>
          </w:p>
        </w:tc>
        <w:tc>
          <w:tcPr>
            <w:tcW w:w="47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14"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473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EJERAFTALE</w:t>
            </w:r>
          </w:p>
        </w:tc>
        <w:tc>
          <w:tcPr>
            <w:tcW w:w="60" w:type="dxa"/>
            <w:tcBorders/>
            <w:vAlign w:val="center"/>
          </w:tcPr>
          <w:p>
            <w:pPr>
              <w:pStyle w:val="TableContents"/>
              <w:bidi w:val="0"/>
              <w:spacing w:before="0" w:after="283"/>
              <w:jc w:val="both"/>
              <w:rPr/>
            </w:pPr>
            <w:r>
              <w:rPr/>
              <w:t> </w:t>
            </w:r>
          </w:p>
        </w:tc>
        <w:tc>
          <w:tcPr>
            <w:tcW w:w="44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w:t>
            </w:r>
          </w:p>
        </w:tc>
        <w:tc>
          <w:tcPr>
            <w:tcW w:w="45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SHAREHOLDERS’ AGREEMENT</w:t>
            </w:r>
          </w:p>
        </w:tc>
      </w:tr>
      <w:tr>
        <w:trPr/>
        <w:tc>
          <w:tcPr>
            <w:tcW w:w="395" w:type="dxa"/>
            <w:tcBorders/>
            <w:vAlign w:val="center"/>
          </w:tcPr>
          <w:p>
            <w:pPr>
              <w:pStyle w:val="TableContents"/>
              <w:bidi w:val="0"/>
              <w:spacing w:before="0" w:after="283"/>
              <w:jc w:val="left"/>
              <w:rPr/>
            </w:pPr>
            <w:r>
              <w:rPr/>
              <w:t> </w:t>
            </w:r>
          </w:p>
        </w:tc>
        <w:tc>
          <w:tcPr>
            <w:tcW w:w="47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14"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47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 skal på tidspunktet for udnyttelse af Warrants tildelt i henhold til denne Aftale tiltræde og acceptere at være bundet af enhver ejeraftale, der gælder for kapitalejere i Selskabet til enhver tid ved at underskrive en tiltrædelseserklæring til en sådan ejeraftale. Warrantindehaveren tiltræder og accepterer, at en sådan ejeraftale kan indeholde betingelser, der alene gælder for Warrantindehaveren og ikke for de andre kapitalejere i Selskabet. Således har ikke alle kapitalejere i Selskabet de samme rettigheder i henhold til ejeraftalen. En sådan tiltrædelseserklæring skal underskrives senest på tidspunktet for udnyttelse af Warrants, og udnyttelsen af Warrants skal være betinget heraf.</w:t>
            </w:r>
          </w:p>
        </w:tc>
        <w:tc>
          <w:tcPr>
            <w:tcW w:w="60" w:type="dxa"/>
            <w:tcBorders/>
            <w:vAlign w:val="center"/>
          </w:tcPr>
          <w:p>
            <w:pPr>
              <w:pStyle w:val="TableContents"/>
              <w:bidi w:val="0"/>
              <w:spacing w:before="0" w:after="283"/>
              <w:jc w:val="both"/>
              <w:rPr/>
            </w:pPr>
            <w:r>
              <w:rPr/>
              <w:t> </w:t>
            </w:r>
          </w:p>
        </w:tc>
        <w:tc>
          <w:tcPr>
            <w:tcW w:w="501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Warrantee shall at the time of exercise of the Warrants granted hereunder endorse and agree to be bound by any Shareholders' Agreement applicable to the shareholders of the Company from time to time by signing a deed of adherence to such Shareholders' Agreement. The Warrantee acknowledges and accepts that such Shareholders Agreement may include terms only applicable on the Warrantee and not on the other shareholders of the Company. Thus, not all shareholders of the Company may have the same rights under the Shareholders Agreement. Such deed of adherence shall be signed no later than at the time of the exercise of the Warrants and the exercise of any Warrants shall be conditional hereupon.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5073"/>
        <w:gridCol w:w="60"/>
        <w:gridCol w:w="459"/>
        <w:gridCol w:w="4218"/>
      </w:tblGrid>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507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OVERDRAGELSE AF WARRANTS</w:t>
            </w:r>
          </w:p>
        </w:tc>
        <w:tc>
          <w:tcPr>
            <w:tcW w:w="60" w:type="dxa"/>
            <w:tcBorders/>
            <w:vAlign w:val="center"/>
          </w:tcPr>
          <w:p>
            <w:pPr>
              <w:pStyle w:val="TableContents"/>
              <w:bidi w:val="0"/>
              <w:spacing w:before="0" w:after="283"/>
              <w:jc w:val="both"/>
              <w:rPr/>
            </w:pPr>
            <w:r>
              <w:rPr/>
              <w:t> </w:t>
            </w:r>
          </w:p>
        </w:tc>
        <w:tc>
          <w:tcPr>
            <w:tcW w:w="4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11</w:t>
            </w:r>
          </w:p>
        </w:tc>
        <w:tc>
          <w:tcPr>
            <w:tcW w:w="421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ASSIGNMENT OF WARRANTS</w:t>
            </w:r>
          </w:p>
        </w:tc>
      </w:tr>
      <w:tr>
        <w:trPr/>
        <w:tc>
          <w:tcPr>
            <w:tcW w:w="395" w:type="dxa"/>
            <w:tcBorders/>
            <w:vAlign w:val="center"/>
          </w:tcPr>
          <w:p>
            <w:pPr>
              <w:pStyle w:val="TableContents"/>
              <w:bidi w:val="0"/>
              <w:spacing w:before="0" w:after="283"/>
              <w:jc w:val="left"/>
              <w:rPr/>
            </w:pPr>
            <w:r>
              <w:rPr/>
              <w:t> </w:t>
            </w:r>
          </w:p>
        </w:tc>
        <w:tc>
          <w:tcPr>
            <w:tcW w:w="507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77"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5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og andre rettigheder og/eller forpligtelser af Warrantindehaveren i henhold til denne Af- tale må ikke være genstand for udlæg (pant, sikkerhed eller lignende), erhverves eller på anden måde overdrages af Warrantindehaveren.</w:t>
            </w:r>
          </w:p>
        </w:tc>
        <w:tc>
          <w:tcPr>
            <w:tcW w:w="60" w:type="dxa"/>
            <w:tcBorders/>
            <w:vAlign w:val="center"/>
          </w:tcPr>
          <w:p>
            <w:pPr>
              <w:pStyle w:val="TableContents"/>
              <w:bidi w:val="0"/>
              <w:spacing w:before="0" w:after="283"/>
              <w:jc w:val="both"/>
              <w:rPr/>
            </w:pPr>
            <w:r>
              <w:rPr/>
              <w:t> </w:t>
            </w:r>
          </w:p>
        </w:tc>
        <w:tc>
          <w:tcPr>
            <w:tcW w:w="4677"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and any other rights and/or obligations granted to the Warrantee under this Agreement cannot be subject to any encumbrance (as pledge, security or similar), assignment or in any other way be transferred by the Warrantee.</w:t>
            </w:r>
          </w:p>
        </w:tc>
      </w:tr>
      <w:tr>
        <w:trPr/>
        <w:tc>
          <w:tcPr>
            <w:tcW w:w="395" w:type="dxa"/>
            <w:tcBorders/>
            <w:vAlign w:val="center"/>
          </w:tcPr>
          <w:p>
            <w:pPr>
              <w:pStyle w:val="TableContents"/>
              <w:bidi w:val="0"/>
              <w:spacing w:before="0" w:after="283"/>
              <w:jc w:val="left"/>
              <w:rPr/>
            </w:pPr>
            <w:r>
              <w:rPr/>
              <w:t> </w:t>
            </w:r>
          </w:p>
        </w:tc>
        <w:tc>
          <w:tcPr>
            <w:tcW w:w="507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77"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5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Uanset det anførte under punkt 11.1 kan overdragelse i tilfælde af Warrantindehaverens død finde sted til Warrantindehaverens bo og/eller hans/hendes arvinger.</w:t>
            </w:r>
          </w:p>
        </w:tc>
        <w:tc>
          <w:tcPr>
            <w:tcW w:w="60" w:type="dxa"/>
            <w:tcBorders/>
            <w:vAlign w:val="center"/>
          </w:tcPr>
          <w:p>
            <w:pPr>
              <w:pStyle w:val="TableContents"/>
              <w:bidi w:val="0"/>
              <w:spacing w:before="0" w:after="283"/>
              <w:jc w:val="both"/>
              <w:rPr/>
            </w:pPr>
            <w:r>
              <w:rPr/>
              <w:t> </w:t>
            </w:r>
          </w:p>
        </w:tc>
        <w:tc>
          <w:tcPr>
            <w:tcW w:w="4677"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Clause 11.1, assignment to the estate left by the Warrantee and/or to his/her heir/heiress in the event of death shall be allowed.</w:t>
            </w:r>
          </w:p>
        </w:tc>
      </w:tr>
      <w:tr>
        <w:trPr/>
        <w:tc>
          <w:tcPr>
            <w:tcW w:w="395" w:type="dxa"/>
            <w:tcBorders/>
            <w:vAlign w:val="center"/>
          </w:tcPr>
          <w:p>
            <w:pPr>
              <w:pStyle w:val="TableContents"/>
              <w:bidi w:val="0"/>
              <w:spacing w:before="0" w:after="283"/>
              <w:jc w:val="left"/>
              <w:rPr/>
            </w:pPr>
            <w:r>
              <w:rPr/>
              <w:t> </w:t>
            </w:r>
          </w:p>
        </w:tc>
        <w:tc>
          <w:tcPr>
            <w:tcW w:w="507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77"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w:t>
            </w:r>
          </w:p>
        </w:tc>
        <w:tc>
          <w:tcPr>
            <w:tcW w:w="5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Uanset det anførte under punkt 11.1 må Warrantindehaverens kapitalandele henholdsvis Warrants, herunder kapitalandele erhvervet gennem udnyttelse af Warrants, ikke være genstand for inkassoprocedurer, fogedforretninger eller anden form for fuldbyrdelse og må heller ikke bruges som pant over for tredjepart. Warrantindehaveren har dog ved forudgående skriftlig tilladelse fra Selskabets Bestyrelse ret til at bruge kapitalandele og warrants som pant i forbindelse med finansiering af køb af sådanne kapitalandele og warrants, hvis panthaver forud for pantsætningen skriftligt bekræfter at ville respektere denne Aftale.</w:t>
            </w:r>
          </w:p>
        </w:tc>
        <w:tc>
          <w:tcPr>
            <w:tcW w:w="60" w:type="dxa"/>
            <w:tcBorders/>
            <w:vAlign w:val="center"/>
          </w:tcPr>
          <w:p>
            <w:pPr>
              <w:pStyle w:val="TableContents"/>
              <w:bidi w:val="0"/>
              <w:spacing w:before="0" w:after="283"/>
              <w:jc w:val="both"/>
              <w:rPr/>
            </w:pPr>
            <w:r>
              <w:rPr/>
              <w:t> </w:t>
            </w:r>
          </w:p>
        </w:tc>
        <w:tc>
          <w:tcPr>
            <w:tcW w:w="4677"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Clause 11.1, the Warrantee's shares and Warrants (as applicable), including shares acquired by the exercise of Warrants, are not to be subjected to debt collection proceedings, creditor enforcement or any other type of enforcement, nor are they to be pledged to any third party. However, subject to prior written approval from the board of the Company the Warrantee shall be entitled to pledge shares and warrants in connection with the funding of the purchase of such shares and warrants if the pledgee prior to the pledge accepts in writing to respect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5354"/>
        <w:gridCol w:w="60"/>
        <w:gridCol w:w="504"/>
        <w:gridCol w:w="3892"/>
      </w:tblGrid>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535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AFKALD</w:t>
            </w:r>
          </w:p>
        </w:tc>
        <w:tc>
          <w:tcPr>
            <w:tcW w:w="60" w:type="dxa"/>
            <w:tcBorders/>
            <w:vAlign w:val="center"/>
          </w:tcPr>
          <w:p>
            <w:pPr>
              <w:pStyle w:val="TableContents"/>
              <w:bidi w:val="0"/>
              <w:spacing w:before="0" w:after="283"/>
              <w:jc w:val="both"/>
              <w:rPr/>
            </w:pPr>
            <w:r>
              <w:rPr/>
              <w:t> </w:t>
            </w:r>
          </w:p>
        </w:tc>
        <w:tc>
          <w:tcPr>
            <w:tcW w:w="50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12</w:t>
            </w:r>
          </w:p>
        </w:tc>
        <w:tc>
          <w:tcPr>
            <w:tcW w:w="389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WAIVER</w:t>
            </w:r>
          </w:p>
        </w:tc>
      </w:tr>
      <w:tr>
        <w:trPr/>
        <w:tc>
          <w:tcPr>
            <w:tcW w:w="395" w:type="dxa"/>
            <w:tcBorders/>
            <w:vAlign w:val="center"/>
          </w:tcPr>
          <w:p>
            <w:pPr>
              <w:pStyle w:val="TableContents"/>
              <w:bidi w:val="0"/>
              <w:spacing w:before="0" w:after="283"/>
              <w:jc w:val="left"/>
              <w:rPr/>
            </w:pPr>
            <w:r>
              <w:rPr/>
              <w:t> </w:t>
            </w:r>
          </w:p>
        </w:tc>
        <w:tc>
          <w:tcPr>
            <w:tcW w:w="535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396"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53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 garanterer ikke at ville påberåbe sig eller på anden måde benytte sig af minoritetsbeskyttelsesreglen i henhold Selskabsloven, herunder § 73, ifølge hvilken en minoritetskapitalejer kan fordre sine kapitalandele indløst af en kapitalejer, der ejer mere end ni tiendedele af kapitalandelene (indløsningsret).</w:t>
            </w:r>
          </w:p>
        </w:tc>
        <w:tc>
          <w:tcPr>
            <w:tcW w:w="60" w:type="dxa"/>
            <w:tcBorders/>
            <w:vAlign w:val="center"/>
          </w:tcPr>
          <w:p>
            <w:pPr>
              <w:pStyle w:val="TableContents"/>
              <w:bidi w:val="0"/>
              <w:spacing w:before="0" w:after="283"/>
              <w:jc w:val="both"/>
              <w:rPr/>
            </w:pPr>
            <w:r>
              <w:rPr/>
              <w:t> </w:t>
            </w:r>
          </w:p>
        </w:tc>
        <w:tc>
          <w:tcPr>
            <w:tcW w:w="4396"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Warrantee undertakes not to invoke or other- wise rely upon the minority protection rule available under the Danish Companies Act, including Clause 73, stipulating the right to require a share- holder holding more than nine-tenths of the shares to acquire the shares of any minority shareholder (in Danish: "indløsningsret").</w:t>
            </w:r>
          </w:p>
        </w:tc>
      </w:tr>
      <w:tr>
        <w:trPr/>
        <w:tc>
          <w:tcPr>
            <w:tcW w:w="395" w:type="dxa"/>
            <w:tcBorders/>
            <w:vAlign w:val="center"/>
          </w:tcPr>
          <w:p>
            <w:pPr>
              <w:pStyle w:val="TableContents"/>
              <w:bidi w:val="0"/>
              <w:spacing w:before="0" w:after="283"/>
              <w:jc w:val="left"/>
              <w:rPr/>
            </w:pPr>
            <w:r>
              <w:rPr/>
              <w:t> </w:t>
            </w:r>
          </w:p>
        </w:tc>
        <w:tc>
          <w:tcPr>
            <w:tcW w:w="535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396"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535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PANTSÆTNING AF KAPITALANDELE</w:t>
            </w:r>
          </w:p>
        </w:tc>
        <w:tc>
          <w:tcPr>
            <w:tcW w:w="60" w:type="dxa"/>
            <w:tcBorders/>
            <w:vAlign w:val="center"/>
          </w:tcPr>
          <w:p>
            <w:pPr>
              <w:pStyle w:val="TableContents"/>
              <w:bidi w:val="0"/>
              <w:spacing w:before="0" w:after="283"/>
              <w:jc w:val="both"/>
              <w:rPr/>
            </w:pPr>
            <w:r>
              <w:rPr/>
              <w:t> </w:t>
            </w:r>
          </w:p>
        </w:tc>
        <w:tc>
          <w:tcPr>
            <w:tcW w:w="50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13</w:t>
            </w:r>
          </w:p>
        </w:tc>
        <w:tc>
          <w:tcPr>
            <w:tcW w:w="389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PLEDGE OF SHARES</w:t>
            </w:r>
          </w:p>
        </w:tc>
      </w:tr>
      <w:tr>
        <w:trPr/>
        <w:tc>
          <w:tcPr>
            <w:tcW w:w="395" w:type="dxa"/>
            <w:tcBorders/>
            <w:vAlign w:val="center"/>
          </w:tcPr>
          <w:p>
            <w:pPr>
              <w:pStyle w:val="TableContents"/>
              <w:bidi w:val="0"/>
              <w:spacing w:before="0" w:after="283"/>
              <w:jc w:val="left"/>
              <w:rPr/>
            </w:pPr>
            <w:r>
              <w:rPr/>
              <w:t> </w:t>
            </w:r>
          </w:p>
        </w:tc>
        <w:tc>
          <w:tcPr>
            <w:tcW w:w="535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396"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53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 forpligter sig herved at pantsætte kapitalandele i Selskabet tegnet gennem udnyttelse af Warrants (herunder eventuelle stemmerettigheder) til de andre kapitalejere i Selskabet som sikkerhed for (i) opfyldelse af Warrantindehaverens forpligtelser i henhold til Aftalen og (ii) opfyldelse af Warrantindehaverens forpligtelser i henhold til ejeraftale, der er gældende for Warrantindehaverens kapitalandele i Selskabet.</w:t>
            </w:r>
          </w:p>
        </w:tc>
        <w:tc>
          <w:tcPr>
            <w:tcW w:w="60" w:type="dxa"/>
            <w:tcBorders/>
            <w:vAlign w:val="center"/>
          </w:tcPr>
          <w:p>
            <w:pPr>
              <w:pStyle w:val="TableContents"/>
              <w:bidi w:val="0"/>
              <w:spacing w:before="0" w:after="283"/>
              <w:jc w:val="both"/>
              <w:rPr/>
            </w:pPr>
            <w:r>
              <w:rPr/>
              <w:t> </w:t>
            </w:r>
          </w:p>
        </w:tc>
        <w:tc>
          <w:tcPr>
            <w:tcW w:w="4396"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Warrantee hereby undertakes to pledge any shares in the Company subscribed for by exercise of any Warrants (including voting rights (if any)) to the other shareholders of the Company as security for (i) the fulfilment of the Warrantee's obligations under this Agreement and (ii) the fulfilment of the Warrantee's obligations under any Shareholders' Agreement governing the shares in the Company held by the Warrantee.</w:t>
            </w:r>
          </w:p>
        </w:tc>
      </w:tr>
      <w:tr>
        <w:trPr/>
        <w:tc>
          <w:tcPr>
            <w:tcW w:w="395" w:type="dxa"/>
            <w:tcBorders/>
            <w:vAlign w:val="center"/>
          </w:tcPr>
          <w:p>
            <w:pPr>
              <w:pStyle w:val="TableContents"/>
              <w:bidi w:val="0"/>
              <w:spacing w:before="0" w:after="283"/>
              <w:jc w:val="left"/>
              <w:rPr/>
            </w:pPr>
            <w:r>
              <w:rPr/>
              <w:t> </w:t>
            </w:r>
          </w:p>
        </w:tc>
        <w:tc>
          <w:tcPr>
            <w:tcW w:w="535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396"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535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FULDMAGT</w:t>
            </w:r>
          </w:p>
        </w:tc>
        <w:tc>
          <w:tcPr>
            <w:tcW w:w="60" w:type="dxa"/>
            <w:tcBorders/>
            <w:vAlign w:val="center"/>
          </w:tcPr>
          <w:p>
            <w:pPr>
              <w:pStyle w:val="TableContents"/>
              <w:bidi w:val="0"/>
              <w:spacing w:before="0" w:after="283"/>
              <w:jc w:val="both"/>
              <w:rPr/>
            </w:pPr>
            <w:r>
              <w:rPr/>
              <w:t> </w:t>
            </w:r>
          </w:p>
        </w:tc>
        <w:tc>
          <w:tcPr>
            <w:tcW w:w="50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14</w:t>
            </w:r>
          </w:p>
        </w:tc>
        <w:tc>
          <w:tcPr>
            <w:tcW w:w="389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POWER OF ATTORNEY</w:t>
            </w:r>
          </w:p>
        </w:tc>
      </w:tr>
      <w:tr>
        <w:trPr/>
        <w:tc>
          <w:tcPr>
            <w:tcW w:w="395" w:type="dxa"/>
            <w:tcBorders/>
            <w:vAlign w:val="center"/>
          </w:tcPr>
          <w:p>
            <w:pPr>
              <w:pStyle w:val="TableContents"/>
              <w:bidi w:val="0"/>
              <w:spacing w:before="0" w:after="283"/>
              <w:jc w:val="left"/>
              <w:rPr/>
            </w:pPr>
            <w:r>
              <w:rPr/>
              <w:t> </w:t>
            </w:r>
          </w:p>
        </w:tc>
        <w:tc>
          <w:tcPr>
            <w:tcW w:w="535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396"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w:t>
            </w:r>
          </w:p>
        </w:tc>
        <w:tc>
          <w:tcPr>
            <w:tcW w:w="53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 giver hermed Selskabets Bestyrelse fuldmagt til på Warrantindehaverens vegne at iværksætte enhver foranstaltning, der måtte være nødvendig til opfyldelse af denne Aftale.</w:t>
            </w:r>
          </w:p>
        </w:tc>
        <w:tc>
          <w:tcPr>
            <w:tcW w:w="60" w:type="dxa"/>
            <w:tcBorders/>
            <w:vAlign w:val="center"/>
          </w:tcPr>
          <w:p>
            <w:pPr>
              <w:pStyle w:val="TableContents"/>
              <w:bidi w:val="0"/>
              <w:spacing w:before="0" w:after="283"/>
              <w:jc w:val="both"/>
              <w:rPr/>
            </w:pPr>
            <w:r>
              <w:rPr/>
              <w:t> </w:t>
            </w:r>
          </w:p>
        </w:tc>
        <w:tc>
          <w:tcPr>
            <w:tcW w:w="4396"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Warrantee hereby grants the Board power of attorney to undertake any necessary actions on behalf of the Warrantee to ensure fulfilment of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4761"/>
        <w:gridCol w:w="60"/>
        <w:gridCol w:w="330"/>
        <w:gridCol w:w="4659"/>
      </w:tblGrid>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476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TAVSHEDSPLIGT</w:t>
            </w:r>
          </w:p>
        </w:tc>
        <w:tc>
          <w:tcPr>
            <w:tcW w:w="60" w:type="dxa"/>
            <w:tcBorders/>
            <w:vAlign w:val="center"/>
          </w:tcPr>
          <w:p>
            <w:pPr>
              <w:pStyle w:val="TableContents"/>
              <w:bidi w:val="0"/>
              <w:spacing w:before="0" w:after="283"/>
              <w:jc w:val="both"/>
              <w:rPr/>
            </w:pPr>
            <w:r>
              <w:rPr/>
              <w:t> </w:t>
            </w:r>
          </w:p>
        </w:tc>
        <w:tc>
          <w:tcPr>
            <w:tcW w:w="3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15</w:t>
            </w:r>
          </w:p>
        </w:tc>
        <w:tc>
          <w:tcPr>
            <w:tcW w:w="46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CONFIDENTIALITY</w:t>
            </w:r>
          </w:p>
        </w:tc>
      </w:tr>
      <w:tr>
        <w:trPr/>
        <w:tc>
          <w:tcPr>
            <w:tcW w:w="395"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9"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4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Parterne forpligter sig til at behandle indholdet af denne Aftale og betingelserne for Aftalen fortroligt. En Part er berettiget til at fremlægge betingelserne i denne Aftale på skriftlig opfordring fra en offentlig myndighed, som har en lovlig ret til at kræve sådanne oplysninger, eller hvis en sådan fremlæggelse udspringer af lovgivningen.</w:t>
            </w:r>
          </w:p>
        </w:tc>
        <w:tc>
          <w:tcPr>
            <w:tcW w:w="60" w:type="dxa"/>
            <w:tcBorders/>
            <w:vAlign w:val="center"/>
          </w:tcPr>
          <w:p>
            <w:pPr>
              <w:pStyle w:val="TableContents"/>
              <w:bidi w:val="0"/>
              <w:spacing w:before="0" w:after="283"/>
              <w:jc w:val="both"/>
              <w:rPr/>
            </w:pPr>
            <w:r>
              <w:rPr/>
              <w:t> </w:t>
            </w:r>
          </w:p>
        </w:tc>
        <w:tc>
          <w:tcPr>
            <w:tcW w:w="498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Parties undertake to treat the content of this Agreement and its terms and conditions confidential. A Party shall be entitled to disclose the terms and conditions of this Agreement upon written request from a public authority that has a legal right to require this information or if such disclosure follows from statutory law.</w:t>
            </w:r>
          </w:p>
        </w:tc>
      </w:tr>
      <w:tr>
        <w:trPr/>
        <w:tc>
          <w:tcPr>
            <w:tcW w:w="395"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9"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476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LOVVALG</w:t>
            </w:r>
          </w:p>
        </w:tc>
        <w:tc>
          <w:tcPr>
            <w:tcW w:w="60" w:type="dxa"/>
            <w:tcBorders/>
            <w:vAlign w:val="center"/>
          </w:tcPr>
          <w:p>
            <w:pPr>
              <w:pStyle w:val="TableContents"/>
              <w:bidi w:val="0"/>
              <w:spacing w:before="0" w:after="283"/>
              <w:jc w:val="both"/>
              <w:rPr/>
            </w:pPr>
            <w:r>
              <w:rPr/>
              <w:t> </w:t>
            </w:r>
          </w:p>
        </w:tc>
        <w:tc>
          <w:tcPr>
            <w:tcW w:w="3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16</w:t>
            </w:r>
          </w:p>
        </w:tc>
        <w:tc>
          <w:tcPr>
            <w:tcW w:w="46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GOVERNING LAW</w:t>
            </w:r>
          </w:p>
        </w:tc>
      </w:tr>
      <w:tr>
        <w:trPr/>
        <w:tc>
          <w:tcPr>
            <w:tcW w:w="395"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9"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w:t>
            </w:r>
          </w:p>
        </w:tc>
        <w:tc>
          <w:tcPr>
            <w:tcW w:w="4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Denne Aftale er underlagt dansk ret.</w:t>
            </w:r>
          </w:p>
        </w:tc>
        <w:tc>
          <w:tcPr>
            <w:tcW w:w="60" w:type="dxa"/>
            <w:tcBorders/>
            <w:vAlign w:val="center"/>
          </w:tcPr>
          <w:p>
            <w:pPr>
              <w:pStyle w:val="TableContents"/>
              <w:bidi w:val="0"/>
              <w:spacing w:before="0" w:after="283"/>
              <w:jc w:val="both"/>
              <w:rPr/>
            </w:pPr>
            <w:r>
              <w:rPr/>
              <w:t> </w:t>
            </w:r>
          </w:p>
        </w:tc>
        <w:tc>
          <w:tcPr>
            <w:tcW w:w="498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Agreement shall be governed by the laws of Denmark.</w:t>
            </w:r>
          </w:p>
        </w:tc>
      </w:tr>
      <w:tr>
        <w:trPr/>
        <w:tc>
          <w:tcPr>
            <w:tcW w:w="395"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9"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476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TVISTER</w:t>
            </w:r>
          </w:p>
        </w:tc>
        <w:tc>
          <w:tcPr>
            <w:tcW w:w="60" w:type="dxa"/>
            <w:tcBorders/>
            <w:vAlign w:val="center"/>
          </w:tcPr>
          <w:p>
            <w:pPr>
              <w:pStyle w:val="TableContents"/>
              <w:bidi w:val="0"/>
              <w:spacing w:before="0" w:after="283"/>
              <w:jc w:val="both"/>
              <w:rPr/>
            </w:pPr>
            <w:r>
              <w:rPr/>
              <w:t> </w:t>
            </w:r>
          </w:p>
        </w:tc>
        <w:tc>
          <w:tcPr>
            <w:tcW w:w="3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17</w:t>
            </w:r>
          </w:p>
        </w:tc>
        <w:tc>
          <w:tcPr>
            <w:tcW w:w="46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DISPUTES</w:t>
            </w:r>
          </w:p>
        </w:tc>
      </w:tr>
      <w:tr>
        <w:trPr/>
        <w:tc>
          <w:tcPr>
            <w:tcW w:w="395"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9"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w:t>
            </w:r>
          </w:p>
        </w:tc>
        <w:tc>
          <w:tcPr>
            <w:tcW w:w="4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Enhver tvist mellem Parterne, der måtte udspringe af Aftalen, herunder dens indgåelse eller ophør, skal først søges afgjort ved forhandling. Kan Parterne ikke nå til enighed, afgøres tvisten ved de danske domstole i København.</w:t>
            </w:r>
          </w:p>
        </w:tc>
        <w:tc>
          <w:tcPr>
            <w:tcW w:w="60" w:type="dxa"/>
            <w:tcBorders/>
            <w:vAlign w:val="center"/>
          </w:tcPr>
          <w:p>
            <w:pPr>
              <w:pStyle w:val="TableContents"/>
              <w:bidi w:val="0"/>
              <w:spacing w:before="0" w:after="283"/>
              <w:jc w:val="both"/>
              <w:rPr/>
            </w:pPr>
            <w:r>
              <w:rPr/>
              <w:t> </w:t>
            </w:r>
          </w:p>
        </w:tc>
        <w:tc>
          <w:tcPr>
            <w:tcW w:w="498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Parties shall primarily seek to amicably settle any dispute arising out of or in connection with this Agreement, including its conclusion or termination. If the Parties cannot reach an agreement, the dispute shall be settled by the Danish courts in Copenhagen.</w:t>
            </w:r>
          </w:p>
        </w:tc>
      </w:tr>
      <w:tr>
        <w:trPr/>
        <w:tc>
          <w:tcPr>
            <w:tcW w:w="395"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9"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476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UNDERSKRIFT, HELE AFTALEN OG ÆNDRINGER HERTIL</w:t>
            </w:r>
          </w:p>
        </w:tc>
        <w:tc>
          <w:tcPr>
            <w:tcW w:w="60" w:type="dxa"/>
            <w:tcBorders/>
            <w:vAlign w:val="center"/>
          </w:tcPr>
          <w:p>
            <w:pPr>
              <w:pStyle w:val="TableContents"/>
              <w:bidi w:val="0"/>
              <w:spacing w:before="0" w:after="283"/>
              <w:jc w:val="both"/>
              <w:rPr/>
            </w:pPr>
            <w:r>
              <w:rPr/>
              <w:t> </w:t>
            </w:r>
          </w:p>
        </w:tc>
        <w:tc>
          <w:tcPr>
            <w:tcW w:w="3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18</w:t>
            </w:r>
          </w:p>
        </w:tc>
        <w:tc>
          <w:tcPr>
            <w:tcW w:w="46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SIGNATURES, ENTIRE AGREEMENT, AND AMENDMENTS</w:t>
            </w:r>
          </w:p>
        </w:tc>
      </w:tr>
      <w:tr>
        <w:trPr/>
        <w:tc>
          <w:tcPr>
            <w:tcW w:w="395"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9"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w:t>
            </w:r>
          </w:p>
        </w:tc>
        <w:tc>
          <w:tcPr>
            <w:tcW w:w="4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Denne Aftale er udfærdiget i to eksemplarer, hvoraf det ene underskrevne eksemplar forbliver hos Selskabet, mens det andet underskrevne eksemplar udleveres til Warrantindehaveren. Aftalen træder i kraft på datoen for underskrivelsen.</w:t>
            </w:r>
          </w:p>
        </w:tc>
        <w:tc>
          <w:tcPr>
            <w:tcW w:w="60" w:type="dxa"/>
            <w:tcBorders/>
            <w:vAlign w:val="center"/>
          </w:tcPr>
          <w:p>
            <w:pPr>
              <w:pStyle w:val="TableContents"/>
              <w:bidi w:val="0"/>
              <w:spacing w:before="0" w:after="283"/>
              <w:jc w:val="both"/>
              <w:rPr/>
            </w:pPr>
            <w:r>
              <w:rPr/>
              <w:t> </w:t>
            </w:r>
          </w:p>
        </w:tc>
        <w:tc>
          <w:tcPr>
            <w:tcW w:w="498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Agreement is signed in two copies; one shall be held by the Company and the other by the Warrantee. The Agreement shall be in force from the date of signing.</w:t>
            </w:r>
          </w:p>
        </w:tc>
      </w:tr>
      <w:tr>
        <w:trPr/>
        <w:tc>
          <w:tcPr>
            <w:tcW w:w="395"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9"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18.2</w:t>
            </w:r>
          </w:p>
        </w:tc>
        <w:tc>
          <w:tcPr>
            <w:tcW w:w="4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Alle meddelelser eller lignende i henhold til eller i forbindelse med Aftalen skal foretages skriftligt fra den ene Part til den anden.</w:t>
            </w:r>
          </w:p>
        </w:tc>
        <w:tc>
          <w:tcPr>
            <w:tcW w:w="60" w:type="dxa"/>
            <w:tcBorders/>
            <w:vAlign w:val="center"/>
          </w:tcPr>
          <w:p>
            <w:pPr>
              <w:pStyle w:val="TableContents"/>
              <w:bidi w:val="0"/>
              <w:spacing w:before="0" w:after="283"/>
              <w:jc w:val="both"/>
              <w:rPr/>
            </w:pPr>
            <w:r>
              <w:rPr/>
              <w:t> </w:t>
            </w:r>
          </w:p>
        </w:tc>
        <w:tc>
          <w:tcPr>
            <w:tcW w:w="498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notifications, demands or similar pursuant to or relating to this Agreement shall be made in writing to the other Party.</w:t>
            </w:r>
          </w:p>
        </w:tc>
      </w:tr>
      <w:tr>
        <w:trPr/>
        <w:tc>
          <w:tcPr>
            <w:tcW w:w="395"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9" w:type="dxa"/>
            <w:gridSpan w:val="2"/>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pPr>
            <w:r>
              <w:rPr/>
              <w:t> </w:t>
            </w:r>
          </w:p>
        </w:tc>
        <w:tc>
          <w:tcPr>
            <w:tcW w:w="4761" w:type="dxa"/>
            <w:tcBorders/>
            <w:vAlign w:val="center"/>
          </w:tcPr>
          <w:p>
            <w:pPr>
              <w:pStyle w:val="TableContents"/>
              <w:bidi w:val="0"/>
              <w:spacing w:before="0" w:after="283"/>
              <w:jc w:val="center"/>
              <w:rPr/>
            </w:pPr>
            <w:r>
              <w:rPr/>
              <w:t>- 0 -</w:t>
            </w:r>
          </w:p>
        </w:tc>
        <w:tc>
          <w:tcPr>
            <w:tcW w:w="60" w:type="dxa"/>
            <w:tcBorders/>
            <w:vAlign w:val="center"/>
          </w:tcPr>
          <w:p>
            <w:pPr>
              <w:pStyle w:val="TableContents"/>
              <w:bidi w:val="0"/>
              <w:spacing w:before="0" w:after="283"/>
              <w:jc w:val="both"/>
              <w:rPr/>
            </w:pPr>
            <w:r>
              <w:rPr/>
              <w:t> </w:t>
            </w:r>
          </w:p>
        </w:tc>
        <w:tc>
          <w:tcPr>
            <w:tcW w:w="4989" w:type="dxa"/>
            <w:gridSpan w:val="2"/>
            <w:tcBorders/>
            <w:vAlign w:val="center"/>
          </w:tcPr>
          <w:p>
            <w:pPr>
              <w:pStyle w:val="TableContents"/>
              <w:bidi w:val="0"/>
              <w:spacing w:before="0" w:after="283"/>
              <w:jc w:val="center"/>
              <w:rPr/>
            </w:pPr>
            <w:r>
              <w:rPr/>
              <w:t>- 0 -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79" w:type="dxa"/>
        <w:jc w:val="left"/>
        <w:tblInd w:w="0" w:type="dxa"/>
        <w:tblLayout w:type="fixed"/>
        <w:tblCellMar>
          <w:top w:w="0" w:type="dxa"/>
          <w:left w:w="0" w:type="dxa"/>
          <w:bottom w:w="0" w:type="dxa"/>
          <w:right w:w="0" w:type="dxa"/>
        </w:tblCellMar>
      </w:tblPr>
      <w:tblGrid>
        <w:gridCol w:w="3545"/>
        <w:gridCol w:w="60"/>
        <w:gridCol w:w="156"/>
        <w:gridCol w:w="1318"/>
      </w:tblGrid>
      <w:tr>
        <w:trPr/>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and on behalf of Evaxion Biotech ApS:</w:t>
            </w:r>
          </w:p>
        </w:tc>
        <w:tc>
          <w:tcPr>
            <w:tcW w:w="60" w:type="dxa"/>
            <w:tcBorders/>
            <w:vAlign w:val="center"/>
          </w:tcPr>
          <w:p>
            <w:pPr>
              <w:pStyle w:val="TableContents"/>
              <w:bidi w:val="0"/>
              <w:spacing w:before="0" w:after="283"/>
              <w:jc w:val="both"/>
              <w:rPr/>
            </w:pPr>
            <w:r>
              <w:rPr/>
              <w:t> </w:t>
            </w:r>
          </w:p>
        </w:tc>
        <w:tc>
          <w:tcPr>
            <w:tcW w:w="147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Warantee:</w:t>
            </w:r>
          </w:p>
        </w:tc>
      </w:tr>
      <w:tr>
        <w:trPr/>
        <w:tc>
          <w:tcPr>
            <w:tcW w:w="354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both"/>
              <w:rPr/>
            </w:pPr>
            <w:r>
              <w:rPr/>
              <w:t> </w:t>
            </w:r>
          </w:p>
        </w:tc>
        <w:tc>
          <w:tcPr>
            <w:tcW w:w="156" w:type="dxa"/>
            <w:tcBorders/>
            <w:vAlign w:val="center"/>
          </w:tcPr>
          <w:p>
            <w:pPr>
              <w:pStyle w:val="TableContents"/>
              <w:bidi w:val="0"/>
              <w:spacing w:before="0" w:after="283"/>
              <w:jc w:val="both"/>
              <w:rPr/>
            </w:pPr>
            <w:r>
              <w:rPr/>
              <w:t> </w:t>
            </w:r>
          </w:p>
        </w:tc>
        <w:tc>
          <w:tcPr>
            <w:tcW w:w="13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283"/>
              <w:jc w:val="both"/>
              <w:rPr/>
            </w:pPr>
            <w:r>
              <w:rPr/>
              <w:t> </w:t>
            </w:r>
          </w:p>
        </w:tc>
        <w:tc>
          <w:tcPr>
            <w:tcW w:w="156" w:type="dxa"/>
            <w:tcBorders/>
            <w:vAlign w:val="center"/>
          </w:tcPr>
          <w:p>
            <w:pPr>
              <w:pStyle w:val="TableContents"/>
              <w:bidi w:val="0"/>
              <w:spacing w:before="0" w:after="283"/>
              <w:jc w:val="both"/>
              <w:rPr/>
            </w:pPr>
            <w:r>
              <w:rPr/>
              <w:t> </w:t>
            </w:r>
          </w:p>
        </w:tc>
        <w:tc>
          <w:tcPr>
            <w:tcW w:w="13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r>
      <w:tr>
        <w:trPr/>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283"/>
              <w:jc w:val="both"/>
              <w:rPr/>
            </w:pPr>
            <w:r>
              <w:rPr/>
              <w:t> </w:t>
            </w:r>
          </w:p>
        </w:tc>
        <w:tc>
          <w:tcPr>
            <w:tcW w:w="156" w:type="dxa"/>
            <w:tcBorders/>
            <w:vAlign w:val="center"/>
          </w:tcPr>
          <w:p>
            <w:pPr>
              <w:pStyle w:val="TableContents"/>
              <w:bidi w:val="0"/>
              <w:spacing w:before="0" w:after="283"/>
              <w:jc w:val="both"/>
              <w:rPr/>
            </w:pPr>
            <w:r>
              <w:rPr/>
              <w:t> </w:t>
            </w:r>
          </w:p>
        </w:tc>
        <w:tc>
          <w:tcPr>
            <w:tcW w:w="13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r>
      <w:tr>
        <w:trPr/>
        <w:tc>
          <w:tcPr>
            <w:tcW w:w="354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both"/>
              <w:rPr/>
            </w:pPr>
            <w:r>
              <w:rPr/>
              <w:t> </w:t>
            </w:r>
          </w:p>
        </w:tc>
        <w:tc>
          <w:tcPr>
            <w:tcW w:w="156" w:type="dxa"/>
            <w:tcBorders/>
            <w:vAlign w:val="center"/>
          </w:tcPr>
          <w:p>
            <w:pPr>
              <w:pStyle w:val="TableContents"/>
              <w:bidi w:val="0"/>
              <w:spacing w:before="0" w:after="283"/>
              <w:jc w:val="both"/>
              <w:rPr/>
            </w:pPr>
            <w:r>
              <w:rPr/>
              <w:t> </w:t>
            </w:r>
          </w:p>
        </w:tc>
        <w:tc>
          <w:tcPr>
            <w:tcW w:w="1318" w:type="dxa"/>
            <w:tcBorders/>
            <w:vAlign w:val="center"/>
          </w:tcPr>
          <w:p>
            <w:pPr>
              <w:pStyle w:val="TableContents"/>
              <w:bidi w:val="0"/>
              <w:spacing w:before="0" w:after="283"/>
              <w:jc w:val="left"/>
              <w:rPr>
                <w:sz w:val="4"/>
                <w:szCs w:val="4"/>
              </w:rPr>
            </w:pPr>
            <w:r>
              <w:rPr>
                <w:sz w:val="4"/>
                <w:szCs w:val="4"/>
              </w:rPr>
            </w:r>
          </w:p>
        </w:tc>
      </w:tr>
      <w:tr>
        <w:trPr/>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283"/>
              <w:jc w:val="both"/>
              <w:rPr/>
            </w:pPr>
            <w:r>
              <w:rPr/>
              <w:t> </w:t>
            </w:r>
          </w:p>
        </w:tc>
        <w:tc>
          <w:tcPr>
            <w:tcW w:w="156" w:type="dxa"/>
            <w:tcBorders/>
            <w:vAlign w:val="center"/>
          </w:tcPr>
          <w:p>
            <w:pPr>
              <w:pStyle w:val="TableContents"/>
              <w:bidi w:val="0"/>
              <w:spacing w:before="0" w:after="283"/>
              <w:jc w:val="both"/>
              <w:rPr/>
            </w:pPr>
            <w:r>
              <w:rPr/>
              <w:t> </w:t>
            </w:r>
          </w:p>
        </w:tc>
        <w:tc>
          <w:tcPr>
            <w:tcW w:w="1318" w:type="dxa"/>
            <w:tcBorders/>
            <w:vAlign w:val="center"/>
          </w:tcPr>
          <w:p>
            <w:pPr>
              <w:pStyle w:val="TableContents"/>
              <w:bidi w:val="0"/>
              <w:spacing w:before="0" w:after="283"/>
              <w:jc w:val="both"/>
              <w:rPr/>
            </w:pPr>
            <w:r>
              <w:rPr/>
              <w:t> </w:t>
            </w:r>
          </w:p>
        </w:tc>
      </w:tr>
      <w:tr>
        <w:trPr/>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283"/>
              <w:jc w:val="both"/>
              <w:rPr/>
            </w:pPr>
            <w:r>
              <w:rPr/>
              <w:t> </w:t>
            </w:r>
          </w:p>
        </w:tc>
        <w:tc>
          <w:tcPr>
            <w:tcW w:w="156" w:type="dxa"/>
            <w:tcBorders/>
            <w:vAlign w:val="center"/>
          </w:tcPr>
          <w:p>
            <w:pPr>
              <w:pStyle w:val="TableContents"/>
              <w:bidi w:val="0"/>
              <w:spacing w:before="0" w:after="283"/>
              <w:jc w:val="both"/>
              <w:rPr/>
            </w:pPr>
            <w:r>
              <w:rPr/>
              <w:t> </w:t>
            </w:r>
          </w:p>
        </w:tc>
        <w:tc>
          <w:tcPr>
            <w:tcW w:w="1318"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BILAG 3 TIL VEDTÆGTER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3 TO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STRICTLY CONFIDENTIAL - LEGAL PRIVILEGE</w:t>
      </w:r>
    </w:p>
    <w:p>
      <w:pPr>
        <w:pStyle w:val="TextBody"/>
        <w:bidi w:val="0"/>
        <w:spacing w:before="0" w:after="0"/>
        <w:ind w:left="0" w:right="0" w:hanging="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1745"/>
        <w:gridCol w:w="2255"/>
      </w:tblGrid>
      <w:tr>
        <w:trPr/>
        <w:tc>
          <w:tcPr>
            <w:tcW w:w="1745" w:type="dxa"/>
            <w:tcBorders/>
            <w:vAlign w:val="center"/>
          </w:tcPr>
          <w:p>
            <w:pPr>
              <w:pStyle w:val="TableContents"/>
              <w:bidi w:val="0"/>
              <w:spacing w:before="0" w:after="283"/>
              <w:jc w:val="both"/>
              <w:rPr/>
            </w:pPr>
            <w:r>
              <w:rPr>
                <w:rStyle w:val="SourceText"/>
                <w:rFonts w:ascii="Times New Roman;Times;Serif" w:hAnsi="Times New Roman;Times;Serif"/>
                <w:sz w:val="20"/>
              </w:rPr>
              <w:t>WARRANTAFTALE</w:t>
            </w:r>
          </w:p>
        </w:tc>
        <w:tc>
          <w:tcPr>
            <w:tcW w:w="2255" w:type="dxa"/>
            <w:tcBorders/>
            <w:vAlign w:val="center"/>
          </w:tcPr>
          <w:p>
            <w:pPr>
              <w:pStyle w:val="TableContents"/>
              <w:bidi w:val="0"/>
              <w:spacing w:before="0" w:after="283"/>
              <w:jc w:val="both"/>
              <w:rPr/>
            </w:pPr>
            <w:r>
              <w:rPr>
                <w:rStyle w:val="SourceText"/>
                <w:rFonts w:ascii="Times New Roman;Times;Serif" w:hAnsi="Times New Roman;Times;Serif"/>
                <w:sz w:val="20"/>
              </w:rPr>
              <w:t>WARRANT AGREEMENT</w:t>
            </w:r>
          </w:p>
        </w:tc>
      </w:tr>
    </w:tbl>
    <w:p>
      <w:pPr>
        <w:pStyle w:val="TextBody"/>
        <w:bidi w:val="0"/>
        <w:spacing w:before="0" w:after="0"/>
        <w:ind w:left="0" w:right="0" w:hanging="0"/>
        <w:jc w:val="both"/>
        <w:rPr>
          <w:caps w:val="false"/>
          <w:smallCaps w:val="false"/>
        </w:rPr>
      </w:pPr>
      <w:r>
        <w:rPr>
          <w:caps w:val="false"/>
          <w:smallCaps w:val="false"/>
        </w:rPr>
        <w:t> </w:t>
      </w:r>
    </w:p>
    <w:tbl>
      <w:tblPr>
        <w:tblW w:w="5105" w:type="dxa"/>
        <w:jc w:val="left"/>
        <w:tblInd w:w="0" w:type="dxa"/>
        <w:tblLayout w:type="fixed"/>
        <w:tblCellMar>
          <w:top w:w="0" w:type="dxa"/>
          <w:left w:w="0" w:type="dxa"/>
          <w:bottom w:w="0" w:type="dxa"/>
          <w:right w:w="0" w:type="dxa"/>
        </w:tblCellMar>
      </w:tblPr>
      <w:tblGrid>
        <w:gridCol w:w="725"/>
        <w:gridCol w:w="1790"/>
        <w:gridCol w:w="785"/>
        <w:gridCol w:w="1805"/>
      </w:tblGrid>
      <w:tr>
        <w:trPr/>
        <w:tc>
          <w:tcPr>
            <w:tcW w:w="725" w:type="dxa"/>
            <w:tcBorders/>
            <w:vAlign w:val="center"/>
          </w:tcPr>
          <w:p>
            <w:pPr>
              <w:pStyle w:val="TableContents"/>
              <w:bidi w:val="0"/>
              <w:spacing w:before="0" w:after="283"/>
              <w:jc w:val="both"/>
              <w:rPr/>
            </w:pPr>
            <w:r>
              <w:rPr>
                <w:rFonts w:ascii="Times New Roman;Times;Serif" w:hAnsi="Times New Roman;Times;Serif"/>
                <w:sz w:val="20"/>
              </w:rPr>
              <w:t>Mellem</w:t>
            </w:r>
            <w:r>
              <w:rPr/>
              <w:t> </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Evaxion Biotech ApS</w:t>
            </w:r>
          </w:p>
        </w:tc>
        <w:tc>
          <w:tcPr>
            <w:tcW w:w="785" w:type="dxa"/>
            <w:tcBorders/>
            <w:vAlign w:val="center"/>
          </w:tcPr>
          <w:p>
            <w:pPr>
              <w:pStyle w:val="TableContents"/>
              <w:bidi w:val="0"/>
              <w:spacing w:before="0" w:after="283"/>
              <w:jc w:val="both"/>
              <w:rPr/>
            </w:pPr>
            <w:r>
              <w:rPr>
                <w:rStyle w:val="SourceText"/>
                <w:rFonts w:ascii="Times New Roman;Times;Serif" w:hAnsi="Times New Roman;Times;Serif"/>
                <w:sz w:val="20"/>
              </w:rPr>
              <w:t>Between</w:t>
            </w:r>
            <w:r>
              <w:rPr/>
              <w:t> </w:t>
            </w:r>
          </w:p>
        </w:tc>
        <w:tc>
          <w:tcPr>
            <w:tcW w:w="1805" w:type="dxa"/>
            <w:tcBorders/>
            <w:vAlign w:val="center"/>
          </w:tcPr>
          <w:p>
            <w:pPr>
              <w:pStyle w:val="TableContents"/>
              <w:bidi w:val="0"/>
              <w:spacing w:before="0" w:after="283"/>
              <w:jc w:val="both"/>
              <w:rPr/>
            </w:pPr>
            <w:r>
              <w:rPr>
                <w:rStyle w:val="SourceText"/>
                <w:rFonts w:ascii="Times New Roman;Times;Serif" w:hAnsi="Times New Roman;Times;Serif"/>
                <w:sz w:val="20"/>
              </w:rPr>
              <w:t>Evaxion Biotech ApS</w:t>
            </w:r>
          </w:p>
        </w:tc>
      </w:tr>
      <w:tr>
        <w:trPr/>
        <w:tc>
          <w:tcPr>
            <w:tcW w:w="725"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Bredgade 34 E</w:t>
            </w:r>
          </w:p>
        </w:tc>
        <w:tc>
          <w:tcPr>
            <w:tcW w:w="78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rStyle w:val="SourceText"/>
                <w:rFonts w:ascii="Times New Roman;Times;Serif" w:hAnsi="Times New Roman;Times;Serif"/>
                <w:sz w:val="20"/>
              </w:rPr>
              <w:t>Bredgade 34 E</w:t>
            </w:r>
          </w:p>
        </w:tc>
      </w:tr>
      <w:tr>
        <w:trPr/>
        <w:tc>
          <w:tcPr>
            <w:tcW w:w="725"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1260 København K</w:t>
            </w:r>
          </w:p>
        </w:tc>
        <w:tc>
          <w:tcPr>
            <w:tcW w:w="78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rStyle w:val="SourceText"/>
                <w:rFonts w:ascii="Times New Roman;Times;Serif" w:hAnsi="Times New Roman;Times;Serif"/>
                <w:sz w:val="20"/>
              </w:rPr>
              <w:t>1260 Copenhagen K</w:t>
            </w:r>
          </w:p>
        </w:tc>
      </w:tr>
      <w:tr>
        <w:trPr/>
        <w:tc>
          <w:tcPr>
            <w:tcW w:w="725" w:type="dxa"/>
            <w:tcBorders/>
            <w:vAlign w:val="center"/>
          </w:tcPr>
          <w:p>
            <w:pPr>
              <w:pStyle w:val="TableContents"/>
              <w:bidi w:val="0"/>
              <w:spacing w:before="0" w:after="283"/>
              <w:jc w:val="both"/>
              <w:rPr/>
            </w:pPr>
            <w:r>
              <w:rPr/>
              <w:t> </w:t>
            </w:r>
          </w:p>
        </w:tc>
        <w:tc>
          <w:tcPr>
            <w:tcW w:w="1790" w:type="dxa"/>
            <w:tcBorders/>
            <w:vAlign w:val="center"/>
          </w:tcPr>
          <w:p>
            <w:pPr>
              <w:pStyle w:val="TableContents"/>
              <w:bidi w:val="0"/>
              <w:spacing w:before="0" w:after="283"/>
              <w:jc w:val="both"/>
              <w:rPr/>
            </w:pPr>
            <w:r>
              <w:rPr/>
              <w:t> </w:t>
            </w:r>
          </w:p>
        </w:tc>
        <w:tc>
          <w:tcPr>
            <w:tcW w:w="78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t> </w:t>
            </w:r>
          </w:p>
        </w:tc>
      </w:tr>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og</w:t>
            </w:r>
          </w:p>
        </w:tc>
        <w:tc>
          <w:tcPr>
            <w:tcW w:w="17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[Navn]</w:t>
            </w:r>
          </w:p>
        </w:tc>
        <w:tc>
          <w:tcPr>
            <w:tcW w:w="785" w:type="dxa"/>
            <w:tcBorders/>
            <w:vAlign w:val="center"/>
          </w:tcPr>
          <w:p>
            <w:pPr>
              <w:pStyle w:val="TableContents"/>
              <w:bidi w:val="0"/>
              <w:spacing w:before="0" w:after="283"/>
              <w:jc w:val="both"/>
              <w:rPr/>
            </w:pPr>
            <w:r>
              <w:rPr>
                <w:rStyle w:val="SourceText"/>
                <w:rFonts w:ascii="Times New Roman;Times;Serif" w:hAnsi="Times New Roman;Times;Serif"/>
                <w:sz w:val="20"/>
              </w:rPr>
              <w:t>and</w:t>
            </w:r>
          </w:p>
        </w:tc>
        <w:tc>
          <w:tcPr>
            <w:tcW w:w="18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[Name]</w:t>
            </w:r>
          </w:p>
        </w:tc>
      </w:tr>
      <w:tr>
        <w:trPr/>
        <w:tc>
          <w:tcPr>
            <w:tcW w:w="725"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[Adresse]</w:t>
            </w:r>
          </w:p>
        </w:tc>
        <w:tc>
          <w:tcPr>
            <w:tcW w:w="785"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[Address]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tbl>
      <w:tblPr>
        <w:tblW w:w="7095" w:type="dxa"/>
        <w:jc w:val="left"/>
        <w:tblInd w:w="0" w:type="dxa"/>
        <w:tblLayout w:type="fixed"/>
        <w:tblCellMar>
          <w:top w:w="0" w:type="dxa"/>
          <w:left w:w="0" w:type="dxa"/>
          <w:bottom w:w="0" w:type="dxa"/>
          <w:right w:w="0" w:type="dxa"/>
        </w:tblCellMar>
      </w:tblPr>
      <w:tblGrid>
        <w:gridCol w:w="275"/>
        <w:gridCol w:w="6545"/>
        <w:gridCol w:w="275"/>
      </w:tblGrid>
      <w:tr>
        <w:trPr/>
        <w:tc>
          <w:tcPr>
            <w:tcW w:w="7095" w:type="dxa"/>
            <w:gridSpan w:val="3"/>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INDHOLDSFORTEGNELSE/TABLE OF CONTENTS</w:t>
            </w:r>
          </w:p>
        </w:tc>
      </w:tr>
      <w:tr>
        <w:trPr/>
        <w:tc>
          <w:tcPr>
            <w:tcW w:w="7095" w:type="dxa"/>
            <w:gridSpan w:val="3"/>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BAGGRUND OG OMFANG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BACKGROUND AND SCOPE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TILDELING AF WARRANTS</w:t>
            </w:r>
          </w:p>
        </w:tc>
        <w:tc>
          <w:tcPr>
            <w:tcW w:w="275" w:type="dxa"/>
            <w:tcBorders/>
            <w:vAlign w:val="center"/>
          </w:tcPr>
          <w:p>
            <w:pPr>
              <w:pStyle w:val="TableContents"/>
              <w:bidi w:val="0"/>
              <w:spacing w:before="0" w:after="283"/>
              <w:jc w:val="right"/>
              <w:rPr/>
            </w:pPr>
            <w:r>
              <w:rPr/>
              <w:t>5</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 OF WARRANTS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TEGNINGSPRIS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SUBSCRIPTION PRICE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UDNYTTELSE AF WARRANTS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EXERCISE OF WARRANTS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VISSE BETINGELSER I RELATION TIL EXIT </w:t>
            </w:r>
          </w:p>
        </w:tc>
        <w:tc>
          <w:tcPr>
            <w:tcW w:w="275" w:type="dxa"/>
            <w:tcBorders/>
            <w:vAlign w:val="center"/>
          </w:tcPr>
          <w:p>
            <w:pPr>
              <w:pStyle w:val="TableContents"/>
              <w:bidi w:val="0"/>
              <w:spacing w:before="0" w:after="283"/>
              <w:jc w:val="right"/>
              <w:rPr/>
            </w:pPr>
            <w:r>
              <w:rPr/>
              <w:t> </w:t>
            </w:r>
            <w:r>
              <w:rPr>
                <w:rFonts w:ascii="Times New Roman;Times;Serif" w:hAnsi="Times New Roman;Times;Serif"/>
              </w:rPr>
              <w:t>9</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CERTAIN CONDITIONS RELATING TO AN EXIT</w:t>
            </w:r>
          </w:p>
        </w:tc>
        <w:tc>
          <w:tcPr>
            <w:tcW w:w="275" w:type="dxa"/>
            <w:tcBorders/>
            <w:vAlign w:val="center"/>
          </w:tcPr>
          <w:p>
            <w:pPr>
              <w:pStyle w:val="TableContents"/>
              <w:bidi w:val="0"/>
              <w:spacing w:before="0" w:after="283"/>
              <w:jc w:val="right"/>
              <w:rPr/>
            </w:pPr>
            <w:r>
              <w:rPr/>
              <w:t> </w:t>
            </w:r>
            <w:r>
              <w:rPr>
                <w:rFonts w:ascii="Times New Roman;Times;Serif" w:hAnsi="Times New Roman;Times;Serif"/>
              </w:rPr>
              <w:t>9</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OPSIGELSE AF ANSÆTTELSESFORHOLDET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TERMINATION OF EMPLOYMENTS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ÆNDRING I RETSSTILLING ELLER SELSKABSKAPITAL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CHANGE OF LEGAL STATUS OR SHARE CAPITAL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TEGNING AF KAPITALANDELE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SUBACRIPTION OF SHARES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SKAT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w:t>
            </w:r>
          </w:p>
        </w:tc>
        <w:tc>
          <w:tcPr>
            <w:tcW w:w="275" w:type="dxa"/>
            <w:tcBorders/>
            <w:vAlign w:val="center"/>
          </w:tcPr>
          <w:p>
            <w:pPr>
              <w:pStyle w:val="TableContents"/>
              <w:bidi w:val="0"/>
              <w:spacing w:before="0" w:after="283"/>
              <w:jc w:val="right"/>
              <w:rPr/>
            </w:pPr>
            <w:r>
              <w:rPr/>
              <w:t>20</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EJERAFTALE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SHAREHOLDERS’ AGREEMENT </w:t>
            </w:r>
          </w:p>
        </w:tc>
        <w:tc>
          <w:tcPr>
            <w:tcW w:w="275" w:type="dxa"/>
            <w:tcBorders/>
            <w:vAlign w:val="center"/>
          </w:tcPr>
          <w:p>
            <w:pPr>
              <w:pStyle w:val="TableContents"/>
              <w:bidi w:val="0"/>
              <w:spacing w:before="0" w:after="283"/>
              <w:jc w:val="right"/>
              <w:rPr/>
            </w:pPr>
            <w:r>
              <w:rPr/>
              <w:t>2</w:t>
            </w:r>
            <w:r>
              <w:rPr>
                <w:rFonts w:ascii="Times New Roman;Times;Serif" w:hAnsi="Times New Roman;Times;Serif"/>
              </w:rPr>
              <w:t>1</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OVERDRAGELSE AF WARRANTS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ASSIGNMENT OF WARRANTS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AFKALD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WAIVER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PANTSÆTNING AF KAPITALANDELE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PLEDGE OF SHARES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FULDMAGT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POWER OF ATTORNEY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TAVSHEDSPLIGT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CONFIDENTIALITY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LOVVALG</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GOVERNING LAW </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TVISTER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DISPUTES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w:t>
            </w:r>
          </w:p>
        </w:tc>
        <w:tc>
          <w:tcPr>
            <w:tcW w:w="6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UNDERSKRIFT, HELE AFTALEN OG ÆNDRINGER HERTIL</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r>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w:t>
            </w:r>
          </w:p>
        </w:tc>
        <w:tc>
          <w:tcPr>
            <w:tcW w:w="6545" w:type="dxa"/>
            <w:tcBorders/>
            <w:vAlign w:val="center"/>
          </w:tcPr>
          <w:p>
            <w:pPr>
              <w:pStyle w:val="TableContents"/>
              <w:bidi w:val="0"/>
              <w:spacing w:before="0" w:after="283"/>
              <w:jc w:val="left"/>
              <w:rPr/>
            </w:pPr>
            <w:r>
              <w:rPr/>
              <w:t>SIGNATURES, ENTIRE AGREEMENT AND AMENDMENTS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2075"/>
        <w:gridCol w:w="60"/>
        <w:gridCol w:w="3755"/>
      </w:tblGrid>
      <w:tr>
        <w:trPr/>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BILAGSFORTEGNELSE</w:t>
            </w:r>
          </w:p>
        </w:tc>
        <w:tc>
          <w:tcPr>
            <w:tcW w:w="60" w:type="dxa"/>
            <w:tcBorders/>
            <w:vAlign w:val="center"/>
          </w:tcPr>
          <w:p>
            <w:pPr>
              <w:pStyle w:val="TableContents"/>
              <w:bidi w:val="0"/>
              <w:spacing w:before="0" w:after="283"/>
              <w:jc w:val="both"/>
              <w:rPr/>
            </w:pPr>
            <w:r>
              <w:rPr/>
              <w:t> </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INDEX OF EXHIBITS</w:t>
            </w:r>
          </w:p>
        </w:tc>
      </w:tr>
      <w:tr>
        <w:trPr/>
        <w:tc>
          <w:tcPr>
            <w:tcW w:w="20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755" w:type="dxa"/>
            <w:tcBorders/>
            <w:vAlign w:val="center"/>
          </w:tcPr>
          <w:p>
            <w:pPr>
              <w:pStyle w:val="TableContents"/>
              <w:bidi w:val="0"/>
              <w:spacing w:before="0" w:after="283"/>
              <w:jc w:val="both"/>
              <w:rPr/>
            </w:pPr>
            <w:r>
              <w:rPr/>
              <w:t> </w:t>
            </w:r>
          </w:p>
        </w:tc>
      </w:tr>
      <w:tr>
        <w:trPr/>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Bilag 1.2: Vedtægter</w:t>
            </w:r>
          </w:p>
        </w:tc>
        <w:tc>
          <w:tcPr>
            <w:tcW w:w="60" w:type="dxa"/>
            <w:tcBorders/>
            <w:vAlign w:val="center"/>
          </w:tcPr>
          <w:p>
            <w:pPr>
              <w:pStyle w:val="TableContents"/>
              <w:bidi w:val="0"/>
              <w:spacing w:before="0" w:after="283"/>
              <w:jc w:val="both"/>
              <w:rPr/>
            </w:pPr>
            <w:r>
              <w:rPr/>
              <w:t> </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1.2: Company's articles of association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10"/>
        <w:gridCol w:w="60"/>
        <w:gridCol w:w="5335"/>
      </w:tblGrid>
      <w:tr>
        <w:trPr/>
        <w:tc>
          <w:tcPr>
            <w:tcW w:w="4810" w:type="dxa"/>
            <w:tcBorders/>
            <w:vAlign w:val="center"/>
          </w:tcPr>
          <w:p>
            <w:pPr>
              <w:pStyle w:val="TableContents"/>
              <w:bidi w:val="0"/>
              <w:spacing w:before="0" w:after="283"/>
              <w:jc w:val="both"/>
              <w:rPr/>
            </w:pPr>
            <w:r>
              <w:rPr>
                <w:rStyle w:val="SourceText"/>
                <w:rFonts w:ascii="Times New Roman;Times;Serif" w:hAnsi="Times New Roman;Times;Serif"/>
                <w:color w:val="000000"/>
                <w:sz w:val="20"/>
              </w:rPr>
              <w:t>Der er den 31. december 2017 indgået følgende warrantaftale ("Aftalen") mellem:</w:t>
            </w:r>
          </w:p>
        </w:tc>
        <w:tc>
          <w:tcPr>
            <w:tcW w:w="60" w:type="dxa"/>
            <w:tcBorders/>
            <w:vAlign w:val="center"/>
          </w:tcPr>
          <w:p>
            <w:pPr>
              <w:pStyle w:val="TableContents"/>
              <w:bidi w:val="0"/>
              <w:spacing w:before="0" w:after="283"/>
              <w:jc w:val="both"/>
              <w:rPr>
                <w:color w:val="000000"/>
              </w:rPr>
            </w:pPr>
            <w:r>
              <w:rPr>
                <w:color w:val="000000"/>
              </w:rPr>
              <w:t> </w:t>
            </w:r>
          </w:p>
        </w:tc>
        <w:tc>
          <w:tcPr>
            <w:tcW w:w="5335" w:type="dxa"/>
            <w:tcBorders/>
            <w:vAlign w:val="center"/>
          </w:tcPr>
          <w:p>
            <w:pPr>
              <w:pStyle w:val="TableContents"/>
              <w:bidi w:val="0"/>
              <w:spacing w:before="0" w:after="283"/>
              <w:jc w:val="both"/>
              <w:rPr/>
            </w:pPr>
            <w:r>
              <w:rPr>
                <w:rStyle w:val="SourceText"/>
                <w:rFonts w:ascii="Times New Roman;Times;Serif" w:hAnsi="Times New Roman;Times;Serif"/>
                <w:color w:val="000000"/>
                <w:sz w:val="20"/>
              </w:rPr>
              <w:t>This Warrant Agreement (the "Agreement") is entered into on December 31, 2017 between:</w:t>
            </w:r>
          </w:p>
        </w:tc>
      </w:tr>
    </w:tbl>
    <w:tbl>
      <w:tblPr>
        <w:tblW w:w="10205" w:type="dxa"/>
        <w:jc w:val="left"/>
        <w:tblInd w:w="0" w:type="dxa"/>
        <w:tblLayout w:type="fixed"/>
        <w:tblCellMar>
          <w:top w:w="0" w:type="dxa"/>
          <w:left w:w="0" w:type="dxa"/>
          <w:bottom w:w="0" w:type="dxa"/>
          <w:right w:w="0" w:type="dxa"/>
        </w:tblCellMar>
      </w:tblPr>
      <w:tblGrid>
        <w:gridCol w:w="75"/>
        <w:gridCol w:w="213"/>
        <w:gridCol w:w="4924"/>
        <w:gridCol w:w="60"/>
        <w:gridCol w:w="101"/>
        <w:gridCol w:w="4832"/>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pPr>
            <w:r>
              <w:rPr/>
              <w:t> </w:t>
            </w:r>
          </w:p>
        </w:tc>
        <w:tc>
          <w:tcPr>
            <w:tcW w:w="492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01" w:type="dxa"/>
            <w:tcBorders/>
            <w:vAlign w:val="center"/>
          </w:tcPr>
          <w:p>
            <w:pPr>
              <w:pStyle w:val="TableContents"/>
              <w:bidi w:val="0"/>
              <w:spacing w:before="0" w:after="283"/>
              <w:jc w:val="both"/>
              <w:rPr/>
            </w:pPr>
            <w:r>
              <w:rPr/>
              <w:t> </w:t>
            </w:r>
          </w:p>
        </w:tc>
        <w:tc>
          <w:tcPr>
            <w:tcW w:w="483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pPr>
            <w:r>
              <w:rPr>
                <w:rStyle w:val="SourceText"/>
                <w:rFonts w:ascii="Times New Roman;Times;Serif" w:hAnsi="Times New Roman;Times;Serif"/>
                <w:sz w:val="20"/>
              </w:rPr>
              <w:t>(1)</w:t>
            </w:r>
          </w:p>
        </w:tc>
        <w:tc>
          <w:tcPr>
            <w:tcW w:w="4924" w:type="dxa"/>
            <w:tcBorders/>
            <w:vAlign w:val="center"/>
          </w:tcPr>
          <w:p>
            <w:pPr>
              <w:pStyle w:val="TableContents"/>
              <w:bidi w:val="0"/>
              <w:spacing w:before="0" w:after="283"/>
              <w:jc w:val="both"/>
              <w:rPr/>
            </w:pPr>
            <w:r>
              <w:rPr>
                <w:rStyle w:val="SourceText"/>
                <w:rFonts w:ascii="Times New Roman;Times;Serif" w:hAnsi="Times New Roman;Times;Serif"/>
                <w:sz w:val="20"/>
              </w:rPr>
              <w:t>Evaxion Biotech ApS, CVR-nr. 31 76 28 63, Bredgade 34 E, 1260 København K, Danmark ("Selskabet")</w:t>
            </w:r>
          </w:p>
        </w:tc>
        <w:tc>
          <w:tcPr>
            <w:tcW w:w="60" w:type="dxa"/>
            <w:tcBorders/>
            <w:vAlign w:val="center"/>
          </w:tcPr>
          <w:p>
            <w:pPr>
              <w:pStyle w:val="TableContents"/>
              <w:bidi w:val="0"/>
              <w:spacing w:before="0" w:after="283"/>
              <w:jc w:val="both"/>
              <w:rPr/>
            </w:pPr>
            <w:r>
              <w:rPr/>
              <w:t> </w:t>
            </w:r>
          </w:p>
        </w:tc>
        <w:tc>
          <w:tcPr>
            <w:tcW w:w="101" w:type="dxa"/>
            <w:tcBorders/>
            <w:vAlign w:val="center"/>
          </w:tcPr>
          <w:p>
            <w:pPr>
              <w:pStyle w:val="TableContents"/>
              <w:bidi w:val="0"/>
              <w:spacing w:before="0" w:after="283"/>
              <w:jc w:val="both"/>
              <w:rPr/>
            </w:pPr>
            <w:r>
              <w:rPr/>
              <w:t> </w:t>
            </w:r>
          </w:p>
        </w:tc>
        <w:tc>
          <w:tcPr>
            <w:tcW w:w="4832" w:type="dxa"/>
            <w:tcBorders/>
            <w:vAlign w:val="center"/>
          </w:tcPr>
          <w:p>
            <w:pPr>
              <w:pStyle w:val="TableContents"/>
              <w:bidi w:val="0"/>
              <w:spacing w:before="0" w:after="283"/>
              <w:jc w:val="both"/>
              <w:rPr/>
            </w:pPr>
            <w:r>
              <w:rPr>
                <w:rStyle w:val="SourceText"/>
                <w:rFonts w:ascii="Times New Roman;Times;Serif" w:hAnsi="Times New Roman;Times;Serif"/>
                <w:sz w:val="20"/>
              </w:rPr>
              <w:t>Evaxion Biotech ApS, CVR no: 31 76 28 63, Bredgade 34E, 1260 Copenhagen, Denmark (the "Company")</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pPr>
            <w:r>
              <w:rPr>
                <w:rStyle w:val="SourceText"/>
                <w:rFonts w:ascii="Times New Roman;Times;Serif" w:hAnsi="Times New Roman;Times;Serif"/>
                <w:sz w:val="20"/>
              </w:rPr>
              <w:t>(2)</w:t>
            </w:r>
          </w:p>
        </w:tc>
        <w:tc>
          <w:tcPr>
            <w:tcW w:w="4924" w:type="dxa"/>
            <w:tcBorders/>
            <w:vAlign w:val="center"/>
          </w:tcPr>
          <w:p>
            <w:pPr>
              <w:pStyle w:val="TableContents"/>
              <w:bidi w:val="0"/>
              <w:spacing w:before="0" w:after="283"/>
              <w:jc w:val="both"/>
              <w:rPr/>
            </w:pPr>
            <w:r>
              <w:rPr>
                <w:rStyle w:val="SourceText"/>
                <w:rFonts w:ascii="Times New Roman;Times;Serif" w:hAnsi="Times New Roman;Times;Serif"/>
                <w:b/>
                <w:sz w:val="20"/>
              </w:rPr>
              <w:t>[Navn, CPR-nr., adresse] ("Warrantindehaveren")</w:t>
            </w:r>
          </w:p>
        </w:tc>
        <w:tc>
          <w:tcPr>
            <w:tcW w:w="60" w:type="dxa"/>
            <w:tcBorders/>
            <w:vAlign w:val="center"/>
          </w:tcPr>
          <w:p>
            <w:pPr>
              <w:pStyle w:val="TableContents"/>
              <w:bidi w:val="0"/>
              <w:spacing w:before="0" w:after="283"/>
              <w:jc w:val="both"/>
              <w:rPr/>
            </w:pPr>
            <w:r>
              <w:rPr/>
              <w:t> </w:t>
            </w:r>
          </w:p>
        </w:tc>
        <w:tc>
          <w:tcPr>
            <w:tcW w:w="101" w:type="dxa"/>
            <w:tcBorders/>
            <w:vAlign w:val="center"/>
          </w:tcPr>
          <w:p>
            <w:pPr>
              <w:pStyle w:val="TableContents"/>
              <w:bidi w:val="0"/>
              <w:spacing w:before="0" w:after="283"/>
              <w:jc w:val="both"/>
              <w:rPr/>
            </w:pPr>
            <w:r>
              <w:rPr/>
              <w:t> </w:t>
            </w:r>
          </w:p>
        </w:tc>
        <w:tc>
          <w:tcPr>
            <w:tcW w:w="4832" w:type="dxa"/>
            <w:tcBorders/>
            <w:vAlign w:val="center"/>
          </w:tcPr>
          <w:p>
            <w:pPr>
              <w:pStyle w:val="TableContents"/>
              <w:bidi w:val="0"/>
              <w:spacing w:before="0" w:after="283"/>
              <w:jc w:val="both"/>
              <w:rPr/>
            </w:pPr>
            <w:r>
              <w:rPr>
                <w:rStyle w:val="SourceText"/>
                <w:rFonts w:ascii="Times New Roman;Times;Serif" w:hAnsi="Times New Roman;Times;Serif"/>
                <w:b/>
                <w:sz w:val="20"/>
              </w:rPr>
              <w:t>[Name, Civil Reg. No. (CPR), address] (the "Warrantee")</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pPr>
            <w:r>
              <w:rPr>
                <w:rStyle w:val="SourceText"/>
                <w:rFonts w:ascii="Times New Roman;Times;Serif" w:hAnsi="Times New Roman;Times;Serif"/>
                <w:sz w:val="20"/>
              </w:rPr>
              <w:t xml:space="preserve">- </w:t>
            </w:r>
          </w:p>
        </w:tc>
        <w:tc>
          <w:tcPr>
            <w:tcW w:w="4924" w:type="dxa"/>
            <w:tcBorders/>
            <w:vAlign w:val="center"/>
          </w:tcPr>
          <w:p>
            <w:pPr>
              <w:pStyle w:val="TableContents"/>
              <w:bidi w:val="0"/>
              <w:spacing w:before="0" w:after="283"/>
              <w:jc w:val="both"/>
              <w:rPr/>
            </w:pPr>
            <w:r>
              <w:rPr>
                <w:rStyle w:val="SourceText"/>
                <w:rFonts w:ascii="Times New Roman;Times;Serif" w:hAnsi="Times New Roman;Times;Serif"/>
                <w:sz w:val="20"/>
              </w:rPr>
              <w:t>Selskabet og Warrantindehaveren er herefter samlet benævnt "Parterne" og hver for sig "Part"</w:t>
            </w:r>
          </w:p>
        </w:tc>
        <w:tc>
          <w:tcPr>
            <w:tcW w:w="60" w:type="dxa"/>
            <w:tcBorders/>
            <w:vAlign w:val="center"/>
          </w:tcPr>
          <w:p>
            <w:pPr>
              <w:pStyle w:val="TableContents"/>
              <w:bidi w:val="0"/>
              <w:spacing w:before="0" w:after="283"/>
              <w:jc w:val="both"/>
              <w:rPr/>
            </w:pPr>
            <w:r>
              <w:rPr/>
              <w:t> </w:t>
            </w:r>
          </w:p>
        </w:tc>
        <w:tc>
          <w:tcPr>
            <w:tcW w:w="101" w:type="dxa"/>
            <w:tcBorders/>
            <w:vAlign w:val="center"/>
          </w:tcPr>
          <w:p>
            <w:pPr>
              <w:pStyle w:val="TableContents"/>
              <w:bidi w:val="0"/>
              <w:spacing w:before="0" w:after="283"/>
              <w:jc w:val="both"/>
              <w:rPr/>
            </w:pPr>
            <w:r>
              <w:rPr>
                <w:rStyle w:val="SourceText"/>
                <w:rFonts w:ascii="Times New Roman;Times;Serif" w:hAnsi="Times New Roman;Times;Serif"/>
                <w:sz w:val="20"/>
              </w:rPr>
              <w:t xml:space="preserve">- </w:t>
            </w:r>
          </w:p>
        </w:tc>
        <w:tc>
          <w:tcPr>
            <w:tcW w:w="4832" w:type="dxa"/>
            <w:tcBorders/>
            <w:vAlign w:val="center"/>
          </w:tcPr>
          <w:p>
            <w:pPr>
              <w:pStyle w:val="TableContents"/>
              <w:bidi w:val="0"/>
              <w:spacing w:before="0" w:after="283"/>
              <w:jc w:val="both"/>
              <w:rPr/>
            </w:pPr>
            <w:r>
              <w:rPr>
                <w:rStyle w:val="SourceText"/>
                <w:rFonts w:ascii="Times New Roman;Times;Serif" w:hAnsi="Times New Roman;Times;Serif"/>
                <w:sz w:val="20"/>
              </w:rPr>
              <w:t>the Company and the Warrantee hereinafter collectively referred to as the "Parties" and separately as a "Party"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4689"/>
        <w:gridCol w:w="60"/>
        <w:gridCol w:w="275"/>
        <w:gridCol w:w="353"/>
        <w:gridCol w:w="4538"/>
      </w:tblGrid>
      <w:tr>
        <w:trPr/>
        <w:tc>
          <w:tcPr>
            <w:tcW w:w="4979" w:type="dxa"/>
            <w:gridSpan w:val="2"/>
            <w:tcBorders/>
            <w:vAlign w:val="center"/>
          </w:tcPr>
          <w:p>
            <w:pPr>
              <w:pStyle w:val="TableContents"/>
              <w:bidi w:val="0"/>
              <w:spacing w:before="0" w:after="283"/>
              <w:jc w:val="both"/>
              <w:rPr/>
            </w:pPr>
            <w:r>
              <w:rPr>
                <w:rStyle w:val="SourceText"/>
                <w:rFonts w:ascii="Times New Roman;Times;Serif" w:hAnsi="Times New Roman;Times;Serif"/>
                <w:sz w:val="20"/>
              </w:rPr>
              <w:t>EFTERSOM</w:t>
            </w:r>
          </w:p>
        </w:tc>
        <w:tc>
          <w:tcPr>
            <w:tcW w:w="60" w:type="dxa"/>
            <w:tcBorders/>
            <w:vAlign w:val="center"/>
          </w:tcPr>
          <w:p>
            <w:pPr>
              <w:pStyle w:val="TableContents"/>
              <w:bidi w:val="0"/>
              <w:spacing w:before="0" w:after="283"/>
              <w:jc w:val="both"/>
              <w:rPr/>
            </w:pPr>
            <w:r>
              <w:rPr/>
              <w:t> </w:t>
            </w:r>
          </w:p>
        </w:tc>
        <w:tc>
          <w:tcPr>
            <w:tcW w:w="5166" w:type="dxa"/>
            <w:gridSpan w:val="3"/>
            <w:tcBorders/>
            <w:vAlign w:val="center"/>
          </w:tcPr>
          <w:p>
            <w:pPr>
              <w:pStyle w:val="TableContents"/>
              <w:bidi w:val="0"/>
              <w:spacing w:before="0" w:after="283"/>
              <w:jc w:val="both"/>
              <w:rPr/>
            </w:pPr>
            <w:r>
              <w:rPr>
                <w:rStyle w:val="SourceText"/>
                <w:rFonts w:ascii="Times New Roman;Times;Serif" w:hAnsi="Times New Roman;Times;Serif"/>
                <w:sz w:val="20"/>
              </w:rPr>
              <w:t>WHEREAS</w:t>
            </w:r>
          </w:p>
        </w:tc>
      </w:tr>
      <w:tr>
        <w:trPr/>
        <w:tc>
          <w:tcPr>
            <w:tcW w:w="290" w:type="dxa"/>
            <w:tcBorders/>
            <w:vAlign w:val="center"/>
          </w:tcPr>
          <w:p>
            <w:pPr>
              <w:pStyle w:val="TableContents"/>
              <w:bidi w:val="0"/>
              <w:spacing w:before="0" w:after="283"/>
              <w:jc w:val="both"/>
              <w:rPr/>
            </w:pPr>
            <w:r>
              <w:rPr>
                <w:rStyle w:val="SourceText"/>
                <w:rFonts w:ascii="Times New Roman;Times;Serif" w:hAnsi="Times New Roman;Times;Serif"/>
                <w:sz w:val="20"/>
              </w:rPr>
              <w:t>(A)</w:t>
            </w:r>
          </w:p>
        </w:tc>
        <w:tc>
          <w:tcPr>
            <w:tcW w:w="4689" w:type="dxa"/>
            <w:tcBorders/>
            <w:vAlign w:val="center"/>
          </w:tcPr>
          <w:p>
            <w:pPr>
              <w:pStyle w:val="TableContents"/>
              <w:bidi w:val="0"/>
              <w:spacing w:before="0" w:after="283"/>
              <w:jc w:val="both"/>
              <w:rPr/>
            </w:pPr>
            <w:r>
              <w:rPr>
                <w:rStyle w:val="SourceText"/>
                <w:rFonts w:ascii="Times New Roman;Times;Serif" w:hAnsi="Times New Roman;Times;Serif"/>
                <w:sz w:val="20"/>
              </w:rPr>
              <w:t>Warrantindehaveren er ansat i selskabet.</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353" w:type="dxa"/>
            <w:tcBorders/>
            <w:vAlign w:val="center"/>
          </w:tcPr>
          <w:p>
            <w:pPr>
              <w:pStyle w:val="TableContents"/>
              <w:bidi w:val="0"/>
              <w:spacing w:before="0" w:after="283"/>
              <w:jc w:val="both"/>
              <w:rPr/>
            </w:pPr>
            <w:r>
              <w:rPr>
                <w:rStyle w:val="SourceText"/>
                <w:rFonts w:ascii="Times New Roman;Times;Serif" w:hAnsi="Times New Roman;Times;Serif"/>
                <w:sz w:val="20"/>
              </w:rPr>
              <w:t>(A)</w:t>
            </w:r>
          </w:p>
        </w:tc>
        <w:tc>
          <w:tcPr>
            <w:tcW w:w="4538" w:type="dxa"/>
            <w:tcBorders/>
            <w:vAlign w:val="center"/>
          </w:tcPr>
          <w:p>
            <w:pPr>
              <w:pStyle w:val="TableContents"/>
              <w:bidi w:val="0"/>
              <w:spacing w:before="0" w:after="283"/>
              <w:jc w:val="both"/>
              <w:rPr/>
            </w:pPr>
            <w:r>
              <w:rPr>
                <w:rStyle w:val="SourceText"/>
                <w:rFonts w:ascii="Times New Roman;Times;Serif" w:hAnsi="Times New Roman;Times;Serif"/>
                <w:sz w:val="20"/>
              </w:rPr>
              <w:t>The Warrantee is employed by the Company.</w:t>
            </w:r>
          </w:p>
        </w:tc>
      </w:tr>
      <w:tr>
        <w:trPr/>
        <w:tc>
          <w:tcPr>
            <w:tcW w:w="290" w:type="dxa"/>
            <w:tcBorders/>
            <w:vAlign w:val="center"/>
          </w:tcPr>
          <w:p>
            <w:pPr>
              <w:pStyle w:val="TableContents"/>
              <w:bidi w:val="0"/>
              <w:spacing w:before="0" w:after="283"/>
              <w:jc w:val="both"/>
              <w:rPr/>
            </w:pPr>
            <w:r>
              <w:rPr>
                <w:rStyle w:val="SourceText"/>
                <w:rFonts w:ascii="Times New Roman;Times;Serif" w:hAnsi="Times New Roman;Times;Serif"/>
                <w:sz w:val="20"/>
              </w:rPr>
              <w:t>(B)</w:t>
            </w:r>
          </w:p>
        </w:tc>
        <w:tc>
          <w:tcPr>
            <w:tcW w:w="4689" w:type="dxa"/>
            <w:tcBorders/>
            <w:vAlign w:val="center"/>
          </w:tcPr>
          <w:p>
            <w:pPr>
              <w:pStyle w:val="TableContents"/>
              <w:bidi w:val="0"/>
              <w:spacing w:before="0" w:after="283"/>
              <w:jc w:val="both"/>
              <w:rPr/>
            </w:pPr>
            <w:r>
              <w:rPr>
                <w:rStyle w:val="SourceText"/>
                <w:rFonts w:ascii="Times New Roman;Times;Serif" w:hAnsi="Times New Roman;Times;Serif"/>
                <w:sz w:val="20"/>
              </w:rPr>
              <w:t>Selskabet ønsker at motivere Warrantindehaveren ved at tildele et vist antal warrants til Warrantindehaveren.</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353" w:type="dxa"/>
            <w:tcBorders/>
            <w:vAlign w:val="center"/>
          </w:tcPr>
          <w:p>
            <w:pPr>
              <w:pStyle w:val="TableContents"/>
              <w:bidi w:val="0"/>
              <w:spacing w:before="0" w:after="283"/>
              <w:jc w:val="both"/>
              <w:rPr/>
            </w:pPr>
            <w:r>
              <w:rPr>
                <w:rStyle w:val="SourceText"/>
                <w:rFonts w:ascii="Times New Roman;Times;Serif" w:hAnsi="Times New Roman;Times;Serif"/>
                <w:sz w:val="20"/>
              </w:rPr>
              <w:t>(B)</w:t>
            </w:r>
          </w:p>
        </w:tc>
        <w:tc>
          <w:tcPr>
            <w:tcW w:w="4538" w:type="dxa"/>
            <w:tcBorders/>
            <w:vAlign w:val="center"/>
          </w:tcPr>
          <w:p>
            <w:pPr>
              <w:pStyle w:val="TableContents"/>
              <w:bidi w:val="0"/>
              <w:spacing w:before="0" w:after="283"/>
              <w:jc w:val="both"/>
              <w:rPr/>
            </w:pPr>
            <w:r>
              <w:rPr>
                <w:rStyle w:val="SourceText"/>
                <w:rFonts w:ascii="Times New Roman;Times;Serif" w:hAnsi="Times New Roman;Times;Serif"/>
                <w:sz w:val="20"/>
              </w:rPr>
              <w:t>The Company wishes to incentivise the Warrantee by granting certain warrants to the Warrantee.</w:t>
            </w:r>
          </w:p>
        </w:tc>
      </w:tr>
      <w:tr>
        <w:trPr/>
        <w:tc>
          <w:tcPr>
            <w:tcW w:w="4979" w:type="dxa"/>
            <w:gridSpan w:val="2"/>
            <w:tcBorders/>
            <w:vAlign w:val="center"/>
          </w:tcPr>
          <w:p>
            <w:pPr>
              <w:pStyle w:val="TableContents"/>
              <w:bidi w:val="0"/>
              <w:spacing w:before="0" w:after="283"/>
              <w:jc w:val="both"/>
              <w:rPr/>
            </w:pPr>
            <w:r>
              <w:rPr>
                <w:rStyle w:val="SourceText"/>
                <w:rFonts w:ascii="Times New Roman;Times;Serif" w:hAnsi="Times New Roman;Times;Serif"/>
                <w:sz w:val="20"/>
              </w:rPr>
              <w:t>HAR PARTERNE VEDTAGET FØLGENDE:</w:t>
            </w:r>
          </w:p>
        </w:tc>
        <w:tc>
          <w:tcPr>
            <w:tcW w:w="60" w:type="dxa"/>
            <w:tcBorders/>
            <w:vAlign w:val="center"/>
          </w:tcPr>
          <w:p>
            <w:pPr>
              <w:pStyle w:val="TableContents"/>
              <w:bidi w:val="0"/>
              <w:spacing w:before="0" w:after="283"/>
              <w:jc w:val="both"/>
              <w:rPr/>
            </w:pPr>
            <w:r>
              <w:rPr/>
              <w:t> </w:t>
            </w:r>
          </w:p>
        </w:tc>
        <w:tc>
          <w:tcPr>
            <w:tcW w:w="5166" w:type="dxa"/>
            <w:gridSpan w:val="3"/>
            <w:tcBorders/>
            <w:vAlign w:val="center"/>
          </w:tcPr>
          <w:p>
            <w:pPr>
              <w:pStyle w:val="TableContents"/>
              <w:bidi w:val="0"/>
              <w:spacing w:before="0" w:after="283"/>
              <w:jc w:val="both"/>
              <w:rPr/>
            </w:pPr>
            <w:r>
              <w:rPr>
                <w:rStyle w:val="SourceText"/>
                <w:rFonts w:ascii="Times New Roman;Times;Serif" w:hAnsi="Times New Roman;Times;Serif"/>
                <w:sz w:val="20"/>
              </w:rPr>
              <w:t>NOW IT IS HEREBY AGREED AS FOLLOWS:</w:t>
            </w:r>
          </w:p>
        </w:tc>
      </w:tr>
      <w:tr>
        <w:trPr/>
        <w:tc>
          <w:tcPr>
            <w:tcW w:w="290" w:type="dxa"/>
            <w:tcBorders/>
            <w:vAlign w:val="center"/>
          </w:tcPr>
          <w:p>
            <w:pPr>
              <w:pStyle w:val="TableContents"/>
              <w:bidi w:val="0"/>
              <w:spacing w:before="0" w:after="283"/>
              <w:jc w:val="both"/>
              <w:rPr/>
            </w:pPr>
            <w:r>
              <w:rPr>
                <w:rStyle w:val="SourceText"/>
                <w:rFonts w:ascii="Times New Roman;Times;Serif" w:hAnsi="Times New Roman;Times;Serif"/>
                <w:b/>
                <w:sz w:val="20"/>
              </w:rPr>
              <w:t>1</w:t>
            </w:r>
          </w:p>
        </w:tc>
        <w:tc>
          <w:tcPr>
            <w:tcW w:w="4689" w:type="dxa"/>
            <w:tcBorders/>
            <w:vAlign w:val="center"/>
          </w:tcPr>
          <w:p>
            <w:pPr>
              <w:pStyle w:val="TableContents"/>
              <w:bidi w:val="0"/>
              <w:spacing w:before="0" w:after="283"/>
              <w:jc w:val="both"/>
              <w:rPr/>
            </w:pPr>
            <w:r>
              <w:rPr>
                <w:rStyle w:val="SourceText"/>
                <w:rFonts w:ascii="Times New Roman;Times;Serif" w:hAnsi="Times New Roman;Times;Serif"/>
                <w:b/>
                <w:sz w:val="20"/>
              </w:rPr>
              <w:t>BAGGRUND OG OMFANG</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rStyle w:val="SourceText"/>
                <w:rFonts w:ascii="Times New Roman;Times;Serif" w:hAnsi="Times New Roman;Times;Serif"/>
                <w:b/>
                <w:sz w:val="20"/>
              </w:rPr>
              <w:t>1.</w:t>
            </w:r>
          </w:p>
        </w:tc>
        <w:tc>
          <w:tcPr>
            <w:tcW w:w="4891" w:type="dxa"/>
            <w:gridSpan w:val="2"/>
            <w:tcBorders/>
            <w:vAlign w:val="center"/>
          </w:tcPr>
          <w:p>
            <w:pPr>
              <w:pStyle w:val="TableContents"/>
              <w:bidi w:val="0"/>
              <w:spacing w:before="0" w:after="283"/>
              <w:jc w:val="both"/>
              <w:rPr/>
            </w:pPr>
            <w:r>
              <w:rPr>
                <w:rStyle w:val="SourceText"/>
                <w:rFonts w:ascii="Times New Roman;Times;Serif" w:hAnsi="Times New Roman;Times;Serif"/>
                <w:b/>
                <w:sz w:val="20"/>
              </w:rPr>
              <w:t>BACKGROUND AND SCOPE</w:t>
            </w:r>
          </w:p>
        </w:tc>
      </w:tr>
      <w:tr>
        <w:trPr/>
        <w:tc>
          <w:tcPr>
            <w:tcW w:w="290" w:type="dxa"/>
            <w:tcBorders/>
            <w:vAlign w:val="center"/>
          </w:tcPr>
          <w:p>
            <w:pPr>
              <w:pStyle w:val="TableContents"/>
              <w:bidi w:val="0"/>
              <w:spacing w:before="0" w:after="283"/>
              <w:jc w:val="both"/>
              <w:rPr/>
            </w:pPr>
            <w:r>
              <w:rPr>
                <w:rStyle w:val="SourceText"/>
                <w:rFonts w:ascii="Times New Roman;Times;Serif" w:hAnsi="Times New Roman;Times;Serif"/>
                <w:sz w:val="20"/>
              </w:rPr>
              <w:t>1.1</w:t>
            </w:r>
          </w:p>
        </w:tc>
        <w:tc>
          <w:tcPr>
            <w:tcW w:w="4689" w:type="dxa"/>
            <w:tcBorders/>
            <w:vAlign w:val="center"/>
          </w:tcPr>
          <w:p>
            <w:pPr>
              <w:pStyle w:val="TableContents"/>
              <w:bidi w:val="0"/>
              <w:spacing w:before="0" w:after="283"/>
              <w:jc w:val="both"/>
              <w:rPr/>
            </w:pPr>
            <w:r>
              <w:rPr>
                <w:rStyle w:val="SourceText"/>
                <w:rFonts w:ascii="Times New Roman;Times;Serif" w:hAnsi="Times New Roman;Times;Serif"/>
                <w:sz w:val="20"/>
              </w:rPr>
              <w:t>Formålet med denne Aftale er at tildele Warrantindehaveren warrants i Selskabet for at sikre, at Selskabet og Warrantindehaveren har fælles interesser, og at begge Parter medvirker til at skabe den bedst mulige værdiudvikling i Selskabet.</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rStyle w:val="SourceText"/>
                <w:rFonts w:ascii="Times New Roman;Times;Serif" w:hAnsi="Times New Roman;Times;Serif"/>
                <w:sz w:val="20"/>
              </w:rPr>
              <w:t>1.1</w:t>
            </w:r>
          </w:p>
        </w:tc>
        <w:tc>
          <w:tcPr>
            <w:tcW w:w="4891" w:type="dxa"/>
            <w:gridSpan w:val="2"/>
            <w:tcBorders/>
            <w:vAlign w:val="center"/>
          </w:tcPr>
          <w:p>
            <w:pPr>
              <w:pStyle w:val="TableContents"/>
              <w:bidi w:val="0"/>
              <w:spacing w:before="0" w:after="283"/>
              <w:jc w:val="both"/>
              <w:rPr/>
            </w:pPr>
            <w:r>
              <w:rPr>
                <w:rStyle w:val="SourceText"/>
                <w:rFonts w:ascii="Times New Roman;Times;Serif" w:hAnsi="Times New Roman;Times;Serif"/>
                <w:sz w:val="20"/>
              </w:rPr>
              <w:t>The purpose of this Agreement is to grant the Warrantee warrants in the Company in order to ensure that the Company and the Warrantee have aligned interests and that both Parties are working to ensure that the value of the Company develops in the best possible way.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
        <w:gridCol w:w="4687"/>
        <w:gridCol w:w="60"/>
        <w:gridCol w:w="275"/>
        <w:gridCol w:w="4882"/>
      </w:tblGrid>
      <w:tr>
        <w:trPr/>
        <w:tc>
          <w:tcPr>
            <w:tcW w:w="301" w:type="dxa"/>
            <w:tcBorders/>
            <w:vAlign w:val="center"/>
          </w:tcPr>
          <w:p>
            <w:pPr>
              <w:pStyle w:val="TableContents"/>
              <w:bidi w:val="0"/>
              <w:spacing w:before="0" w:after="283"/>
              <w:jc w:val="both"/>
              <w:rPr/>
            </w:pPr>
            <w:r>
              <w:rPr>
                <w:rStyle w:val="SourceText"/>
                <w:rFonts w:ascii="Times New Roman;Times;Serif" w:hAnsi="Times New Roman;Times;Serif"/>
                <w:sz w:val="20"/>
              </w:rPr>
              <w:t>1.2</w:t>
            </w:r>
          </w:p>
        </w:tc>
        <w:tc>
          <w:tcPr>
            <w:tcW w:w="4687" w:type="dxa"/>
            <w:tcBorders/>
            <w:vAlign w:val="center"/>
          </w:tcPr>
          <w:p>
            <w:pPr>
              <w:pStyle w:val="TableContents"/>
              <w:bidi w:val="0"/>
              <w:spacing w:before="0" w:after="283"/>
              <w:jc w:val="both"/>
              <w:rPr/>
            </w:pPr>
            <w:r>
              <w:rPr>
                <w:rStyle w:val="SourceText"/>
                <w:rFonts w:ascii="Times New Roman;Times;Serif" w:hAnsi="Times New Roman;Times;Serif"/>
                <w:sz w:val="20"/>
              </w:rPr>
              <w:t>Selskabets vedtægter er vedlagt denne Aftale som bilag 1.2. Warrantindehaveren accepterer hermed alle fremtidige ændringer i Selskabets vedtægter.</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rStyle w:val="SourceText"/>
                <w:rFonts w:ascii="Times New Roman;Times;Serif" w:hAnsi="Times New Roman;Times;Serif"/>
                <w:sz w:val="20"/>
              </w:rPr>
              <w:t>1.2</w:t>
            </w:r>
          </w:p>
        </w:tc>
        <w:tc>
          <w:tcPr>
            <w:tcW w:w="4882" w:type="dxa"/>
            <w:tcBorders/>
            <w:vAlign w:val="center"/>
          </w:tcPr>
          <w:p>
            <w:pPr>
              <w:pStyle w:val="TableContents"/>
              <w:bidi w:val="0"/>
              <w:spacing w:before="0" w:after="283"/>
              <w:jc w:val="both"/>
              <w:rPr/>
            </w:pPr>
            <w:r>
              <w:rPr>
                <w:rStyle w:val="SourceText"/>
                <w:rFonts w:ascii="Times New Roman;Times;Serif" w:hAnsi="Times New Roman;Times;Serif"/>
                <w:sz w:val="20"/>
              </w:rPr>
              <w:t>The Company's articles of association are attached hereto as Exhibit 1.2. The Warrantee hereby accepts all future changes to the Company's articles of association.</w:t>
            </w:r>
          </w:p>
        </w:tc>
      </w:tr>
      <w:tr>
        <w:trPr/>
        <w:tc>
          <w:tcPr>
            <w:tcW w:w="301" w:type="dxa"/>
            <w:tcBorders/>
            <w:vAlign w:val="center"/>
          </w:tcPr>
          <w:p>
            <w:pPr>
              <w:pStyle w:val="TableContents"/>
              <w:bidi w:val="0"/>
              <w:spacing w:before="0" w:after="283"/>
              <w:jc w:val="both"/>
              <w:rPr/>
            </w:pPr>
            <w:r>
              <w:rPr/>
              <w:t> </w:t>
            </w:r>
          </w:p>
        </w:tc>
        <w:tc>
          <w:tcPr>
            <w:tcW w:w="468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882" w:type="dxa"/>
            <w:tcBorders/>
            <w:vAlign w:val="center"/>
          </w:tcPr>
          <w:p>
            <w:pPr>
              <w:pStyle w:val="TableContents"/>
              <w:bidi w:val="0"/>
              <w:spacing w:before="0" w:after="283"/>
              <w:jc w:val="both"/>
              <w:rPr/>
            </w:pPr>
            <w:r>
              <w:rPr/>
              <w:t> </w:t>
            </w:r>
          </w:p>
        </w:tc>
      </w:tr>
      <w:tr>
        <w:trPr/>
        <w:tc>
          <w:tcPr>
            <w:tcW w:w="301" w:type="dxa"/>
            <w:tcBorders/>
            <w:vAlign w:val="center"/>
          </w:tcPr>
          <w:p>
            <w:pPr>
              <w:pStyle w:val="TableContents"/>
              <w:bidi w:val="0"/>
              <w:spacing w:before="0" w:after="283"/>
              <w:jc w:val="both"/>
              <w:rPr/>
            </w:pPr>
            <w:r>
              <w:rPr>
                <w:rStyle w:val="SourceText"/>
                <w:rFonts w:ascii="Times New Roman;Times;Serif" w:hAnsi="Times New Roman;Times;Serif"/>
                <w:b/>
                <w:sz w:val="20"/>
              </w:rPr>
              <w:t xml:space="preserve">2 </w:t>
            </w:r>
          </w:p>
        </w:tc>
        <w:tc>
          <w:tcPr>
            <w:tcW w:w="4687" w:type="dxa"/>
            <w:tcBorders/>
            <w:vAlign w:val="center"/>
          </w:tcPr>
          <w:p>
            <w:pPr>
              <w:pStyle w:val="TableContents"/>
              <w:bidi w:val="0"/>
              <w:spacing w:before="0" w:after="283"/>
              <w:jc w:val="both"/>
              <w:rPr/>
            </w:pPr>
            <w:r>
              <w:rPr>
                <w:rStyle w:val="SourceText"/>
                <w:rFonts w:ascii="Times New Roman;Times;Serif" w:hAnsi="Times New Roman;Times;Serif"/>
                <w:b/>
                <w:sz w:val="20"/>
              </w:rPr>
              <w:t>TILDELING AF WARRANTS</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rStyle w:val="SourceText"/>
                <w:rFonts w:ascii="Times New Roman;Times;Serif" w:hAnsi="Times New Roman;Times;Serif"/>
                <w:b/>
                <w:sz w:val="20"/>
              </w:rPr>
              <w:t>2.</w:t>
            </w:r>
          </w:p>
        </w:tc>
        <w:tc>
          <w:tcPr>
            <w:tcW w:w="4882" w:type="dxa"/>
            <w:tcBorders/>
            <w:vAlign w:val="center"/>
          </w:tcPr>
          <w:p>
            <w:pPr>
              <w:pStyle w:val="TableContents"/>
              <w:bidi w:val="0"/>
              <w:spacing w:before="0" w:after="283"/>
              <w:jc w:val="both"/>
              <w:rPr/>
            </w:pPr>
            <w:r>
              <w:rPr>
                <w:rStyle w:val="SourceText"/>
                <w:rFonts w:ascii="Times New Roman;Times;Serif" w:hAnsi="Times New Roman;Times;Serif"/>
                <w:b/>
                <w:sz w:val="20"/>
              </w:rPr>
              <w:t>GRANT OF WARRANTS</w:t>
            </w:r>
          </w:p>
        </w:tc>
      </w:tr>
      <w:tr>
        <w:trPr/>
        <w:tc>
          <w:tcPr>
            <w:tcW w:w="301" w:type="dxa"/>
            <w:tcBorders/>
            <w:vAlign w:val="center"/>
          </w:tcPr>
          <w:p>
            <w:pPr>
              <w:pStyle w:val="TableContents"/>
              <w:bidi w:val="0"/>
              <w:spacing w:before="0" w:after="283"/>
              <w:jc w:val="both"/>
              <w:rPr/>
            </w:pPr>
            <w:r>
              <w:rPr/>
              <w:t> </w:t>
            </w:r>
          </w:p>
        </w:tc>
        <w:tc>
          <w:tcPr>
            <w:tcW w:w="468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882" w:type="dxa"/>
            <w:tcBorders/>
            <w:vAlign w:val="center"/>
          </w:tcPr>
          <w:p>
            <w:pPr>
              <w:pStyle w:val="TableContents"/>
              <w:bidi w:val="0"/>
              <w:spacing w:before="0" w:after="283"/>
              <w:jc w:val="both"/>
              <w:rPr/>
            </w:pPr>
            <w:r>
              <w:rPr/>
              <w:t> </w:t>
            </w:r>
          </w:p>
        </w:tc>
      </w:tr>
      <w:tr>
        <w:trPr/>
        <w:tc>
          <w:tcPr>
            <w:tcW w:w="301" w:type="dxa"/>
            <w:tcBorders/>
            <w:vAlign w:val="center"/>
          </w:tcPr>
          <w:p>
            <w:pPr>
              <w:pStyle w:val="TableContents"/>
              <w:bidi w:val="0"/>
              <w:spacing w:before="0" w:after="283"/>
              <w:jc w:val="both"/>
              <w:rPr/>
            </w:pPr>
            <w:r>
              <w:rPr>
                <w:rStyle w:val="SourceText"/>
                <w:rFonts w:ascii="Times New Roman;Times;Serif" w:hAnsi="Times New Roman;Times;Serif"/>
                <w:sz w:val="20"/>
              </w:rPr>
              <w:t>2.1</w:t>
            </w:r>
          </w:p>
        </w:tc>
        <w:tc>
          <w:tcPr>
            <w:tcW w:w="4687" w:type="dxa"/>
            <w:tcBorders/>
            <w:vAlign w:val="center"/>
          </w:tcPr>
          <w:p>
            <w:pPr>
              <w:pStyle w:val="TableContents"/>
              <w:bidi w:val="0"/>
              <w:spacing w:before="0" w:after="283"/>
              <w:jc w:val="both"/>
              <w:rPr/>
            </w:pPr>
            <w:r>
              <w:rPr>
                <w:rStyle w:val="SourceText"/>
                <w:rFonts w:ascii="Times New Roman;Times;Serif" w:hAnsi="Times New Roman;Times;Serif"/>
                <w:sz w:val="20"/>
              </w:rPr>
              <w:t>I henhold til betingelserne i denne Aftale udsteder Selskabet hermed, og Warrantindehaveren modtager [•] warrants i Selskabet ("Warrants").</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rStyle w:val="SourceText"/>
                <w:rFonts w:ascii="Times New Roman;Times;Serif" w:hAnsi="Times New Roman;Times;Serif"/>
                <w:sz w:val="20"/>
              </w:rPr>
              <w:t>2.1</w:t>
            </w:r>
          </w:p>
        </w:tc>
        <w:tc>
          <w:tcPr>
            <w:tcW w:w="4882" w:type="dxa"/>
            <w:tcBorders/>
            <w:vAlign w:val="center"/>
          </w:tcPr>
          <w:p>
            <w:pPr>
              <w:pStyle w:val="TableContents"/>
              <w:bidi w:val="0"/>
              <w:spacing w:before="0" w:after="283"/>
              <w:jc w:val="both"/>
              <w:rPr/>
            </w:pPr>
            <w:r>
              <w:rPr>
                <w:rStyle w:val="SourceText"/>
                <w:rFonts w:ascii="Times New Roman;Times;Serif" w:hAnsi="Times New Roman;Times;Serif"/>
                <w:sz w:val="20"/>
              </w:rPr>
              <w:t>Subject to the terms and conditions set out in this Agreement, the Company hereby issues and the Warrantee receives [•] warrants in the Company to the Warrantee (the "Warrants").</w:t>
            </w:r>
          </w:p>
        </w:tc>
      </w:tr>
      <w:tr>
        <w:trPr/>
        <w:tc>
          <w:tcPr>
            <w:tcW w:w="301" w:type="dxa"/>
            <w:tcBorders/>
            <w:vAlign w:val="center"/>
          </w:tcPr>
          <w:p>
            <w:pPr>
              <w:pStyle w:val="TableContents"/>
              <w:bidi w:val="0"/>
              <w:spacing w:before="0" w:after="283"/>
              <w:jc w:val="both"/>
              <w:rPr/>
            </w:pPr>
            <w:r>
              <w:rPr/>
              <w:t> </w:t>
            </w:r>
          </w:p>
        </w:tc>
        <w:tc>
          <w:tcPr>
            <w:tcW w:w="468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882" w:type="dxa"/>
            <w:tcBorders/>
            <w:vAlign w:val="center"/>
          </w:tcPr>
          <w:p>
            <w:pPr>
              <w:pStyle w:val="TableContents"/>
              <w:bidi w:val="0"/>
              <w:spacing w:before="0" w:after="283"/>
              <w:jc w:val="both"/>
              <w:rPr/>
            </w:pPr>
            <w:r>
              <w:rPr/>
              <w:t> </w:t>
            </w:r>
          </w:p>
        </w:tc>
      </w:tr>
      <w:tr>
        <w:trPr/>
        <w:tc>
          <w:tcPr>
            <w:tcW w:w="301" w:type="dxa"/>
            <w:tcBorders/>
            <w:vAlign w:val="center"/>
          </w:tcPr>
          <w:p>
            <w:pPr>
              <w:pStyle w:val="TableContents"/>
              <w:bidi w:val="0"/>
              <w:spacing w:before="0" w:after="283"/>
              <w:jc w:val="both"/>
              <w:rPr/>
            </w:pPr>
            <w:r>
              <w:rPr>
                <w:rStyle w:val="SourceText"/>
                <w:rFonts w:ascii="Times New Roman;Times;Serif" w:hAnsi="Times New Roman;Times;Serif"/>
                <w:sz w:val="20"/>
              </w:rPr>
              <w:t>2.2</w:t>
            </w:r>
          </w:p>
        </w:tc>
        <w:tc>
          <w:tcPr>
            <w:tcW w:w="4687" w:type="dxa"/>
            <w:tcBorders/>
            <w:vAlign w:val="center"/>
          </w:tcPr>
          <w:p>
            <w:pPr>
              <w:pStyle w:val="TableContents"/>
              <w:bidi w:val="0"/>
              <w:spacing w:before="0" w:after="283"/>
              <w:jc w:val="both"/>
              <w:rPr/>
            </w:pPr>
            <w:r>
              <w:rPr>
                <w:rStyle w:val="SourceText"/>
                <w:rFonts w:ascii="Times New Roman;Times;Serif" w:hAnsi="Times New Roman;Times;Serif"/>
                <w:sz w:val="20"/>
              </w:rPr>
              <w:t>Hver Warrant giver Warrantindehaveren ret, men ikke pligt, til at tegne én kapitalandel à nominelt kr. 1 i Selskabet.</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rStyle w:val="SourceText"/>
                <w:rFonts w:ascii="Times New Roman;Times;Serif" w:hAnsi="Times New Roman;Times;Serif"/>
                <w:sz w:val="20"/>
              </w:rPr>
              <w:t>2.2</w:t>
            </w:r>
          </w:p>
        </w:tc>
        <w:tc>
          <w:tcPr>
            <w:tcW w:w="4882" w:type="dxa"/>
            <w:tcBorders/>
            <w:vAlign w:val="center"/>
          </w:tcPr>
          <w:p>
            <w:pPr>
              <w:pStyle w:val="TableContents"/>
              <w:bidi w:val="0"/>
              <w:spacing w:before="0" w:after="283"/>
              <w:jc w:val="both"/>
              <w:rPr/>
            </w:pPr>
            <w:r>
              <w:rPr>
                <w:rStyle w:val="SourceText"/>
                <w:rFonts w:ascii="Times New Roman;Times;Serif" w:hAnsi="Times New Roman;Times;Serif"/>
                <w:sz w:val="20"/>
              </w:rPr>
              <w:t>Each Warrant shall provide the Warrantee with a right, but not an obligation, to subscribe for one share with a nominal value of DKK 1 in the Company.</w:t>
            </w:r>
          </w:p>
        </w:tc>
      </w:tr>
      <w:tr>
        <w:trPr/>
        <w:tc>
          <w:tcPr>
            <w:tcW w:w="301" w:type="dxa"/>
            <w:tcBorders/>
            <w:vAlign w:val="center"/>
          </w:tcPr>
          <w:p>
            <w:pPr>
              <w:pStyle w:val="TableContents"/>
              <w:bidi w:val="0"/>
              <w:spacing w:before="0" w:after="283"/>
              <w:jc w:val="both"/>
              <w:rPr/>
            </w:pPr>
            <w:r>
              <w:rPr/>
              <w:t> </w:t>
            </w:r>
          </w:p>
        </w:tc>
        <w:tc>
          <w:tcPr>
            <w:tcW w:w="468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882" w:type="dxa"/>
            <w:tcBorders/>
            <w:vAlign w:val="center"/>
          </w:tcPr>
          <w:p>
            <w:pPr>
              <w:pStyle w:val="TableContents"/>
              <w:bidi w:val="0"/>
              <w:spacing w:before="0" w:after="283"/>
              <w:jc w:val="both"/>
              <w:rPr/>
            </w:pPr>
            <w:r>
              <w:rPr/>
              <w:t> </w:t>
            </w:r>
          </w:p>
        </w:tc>
      </w:tr>
      <w:tr>
        <w:trPr/>
        <w:tc>
          <w:tcPr>
            <w:tcW w:w="301" w:type="dxa"/>
            <w:tcBorders/>
            <w:vAlign w:val="center"/>
          </w:tcPr>
          <w:p>
            <w:pPr>
              <w:pStyle w:val="TableContents"/>
              <w:bidi w:val="0"/>
              <w:spacing w:before="0" w:after="283"/>
              <w:jc w:val="both"/>
              <w:rPr/>
            </w:pPr>
            <w:r>
              <w:rPr>
                <w:rStyle w:val="SourceText"/>
                <w:rFonts w:ascii="Times New Roman;Times;Serif" w:hAnsi="Times New Roman;Times;Serif"/>
                <w:sz w:val="20"/>
              </w:rPr>
              <w:t>2.3</w:t>
            </w:r>
          </w:p>
        </w:tc>
        <w:tc>
          <w:tcPr>
            <w:tcW w:w="4687" w:type="dxa"/>
            <w:tcBorders/>
            <w:vAlign w:val="center"/>
          </w:tcPr>
          <w:p>
            <w:pPr>
              <w:pStyle w:val="TableContents"/>
              <w:bidi w:val="0"/>
              <w:spacing w:before="0" w:after="283"/>
              <w:jc w:val="both"/>
              <w:rPr/>
            </w:pPr>
            <w:r>
              <w:rPr>
                <w:rStyle w:val="SourceText"/>
                <w:rFonts w:ascii="Times New Roman;Times;Serif" w:hAnsi="Times New Roman;Times;Serif"/>
                <w:sz w:val="20"/>
              </w:rPr>
              <w:t>Warrants tildeles vederlagsfrit.</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rStyle w:val="SourceText"/>
                <w:rFonts w:ascii="Times New Roman;Times;Serif" w:hAnsi="Times New Roman;Times;Serif"/>
                <w:sz w:val="20"/>
              </w:rPr>
              <w:t>2.3</w:t>
            </w:r>
          </w:p>
        </w:tc>
        <w:tc>
          <w:tcPr>
            <w:tcW w:w="4882" w:type="dxa"/>
            <w:tcBorders/>
            <w:vAlign w:val="center"/>
          </w:tcPr>
          <w:p>
            <w:pPr>
              <w:pStyle w:val="TableContents"/>
              <w:bidi w:val="0"/>
              <w:spacing w:before="0" w:after="283"/>
              <w:jc w:val="both"/>
              <w:rPr/>
            </w:pPr>
            <w:r>
              <w:rPr>
                <w:rStyle w:val="SourceText"/>
                <w:rFonts w:ascii="Times New Roman;Times;Serif" w:hAnsi="Times New Roman;Times;Serif"/>
                <w:sz w:val="20"/>
              </w:rPr>
              <w:t>The Warrants are granted free of charge.</w:t>
            </w:r>
          </w:p>
        </w:tc>
      </w:tr>
      <w:tr>
        <w:trPr/>
        <w:tc>
          <w:tcPr>
            <w:tcW w:w="301" w:type="dxa"/>
            <w:tcBorders/>
            <w:vAlign w:val="center"/>
          </w:tcPr>
          <w:p>
            <w:pPr>
              <w:pStyle w:val="TableContents"/>
              <w:bidi w:val="0"/>
              <w:spacing w:before="0" w:after="283"/>
              <w:jc w:val="both"/>
              <w:rPr/>
            </w:pPr>
            <w:r>
              <w:rPr/>
              <w:t> </w:t>
            </w:r>
          </w:p>
        </w:tc>
        <w:tc>
          <w:tcPr>
            <w:tcW w:w="468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882" w:type="dxa"/>
            <w:tcBorders/>
            <w:vAlign w:val="center"/>
          </w:tcPr>
          <w:p>
            <w:pPr>
              <w:pStyle w:val="TableContents"/>
              <w:bidi w:val="0"/>
              <w:spacing w:before="0" w:after="283"/>
              <w:jc w:val="both"/>
              <w:rPr/>
            </w:pPr>
            <w:r>
              <w:rPr/>
              <w:t> </w:t>
            </w:r>
          </w:p>
        </w:tc>
      </w:tr>
      <w:tr>
        <w:trPr/>
        <w:tc>
          <w:tcPr>
            <w:tcW w:w="301" w:type="dxa"/>
            <w:tcBorders/>
            <w:vAlign w:val="center"/>
          </w:tcPr>
          <w:p>
            <w:pPr>
              <w:pStyle w:val="TableContents"/>
              <w:bidi w:val="0"/>
              <w:spacing w:before="0" w:after="283"/>
              <w:jc w:val="both"/>
              <w:rPr/>
            </w:pPr>
            <w:r>
              <w:rPr>
                <w:rStyle w:val="SourceText"/>
                <w:rFonts w:ascii="Times New Roman;Times;Serif" w:hAnsi="Times New Roman;Times;Serif"/>
                <w:sz w:val="20"/>
              </w:rPr>
              <w:t>2.4</w:t>
            </w:r>
          </w:p>
        </w:tc>
        <w:tc>
          <w:tcPr>
            <w:tcW w:w="4687" w:type="dxa"/>
            <w:tcBorders/>
            <w:vAlign w:val="center"/>
          </w:tcPr>
          <w:p>
            <w:pPr>
              <w:pStyle w:val="TableContents"/>
              <w:bidi w:val="0"/>
              <w:spacing w:before="0" w:after="283"/>
              <w:jc w:val="both"/>
              <w:rPr/>
            </w:pPr>
            <w:r>
              <w:rPr>
                <w:rStyle w:val="SourceText"/>
                <w:rFonts w:ascii="Times New Roman;Times;Serif" w:hAnsi="Times New Roman;Times;Serif"/>
                <w:sz w:val="20"/>
              </w:rPr>
              <w:t>Warrants giver ikke Warrantindehaveren kapitalejerrettigheder, som f.eks. fondskapitalandele, eller fortegningsret i tilfælde af en kapitalforhøjelse i Selskabet.</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rStyle w:val="SourceText"/>
                <w:rFonts w:ascii="Times New Roman;Times;Serif" w:hAnsi="Times New Roman;Times;Serif"/>
                <w:sz w:val="20"/>
              </w:rPr>
              <w:t>2.4</w:t>
            </w:r>
          </w:p>
        </w:tc>
        <w:tc>
          <w:tcPr>
            <w:tcW w:w="4882" w:type="dxa"/>
            <w:tcBorders/>
            <w:vAlign w:val="center"/>
          </w:tcPr>
          <w:p>
            <w:pPr>
              <w:pStyle w:val="TableContents"/>
              <w:bidi w:val="0"/>
              <w:spacing w:before="0" w:after="283"/>
              <w:jc w:val="both"/>
              <w:rPr/>
            </w:pPr>
            <w:r>
              <w:rPr>
                <w:rStyle w:val="SourceText"/>
                <w:rFonts w:ascii="Times New Roman;Times;Serif" w:hAnsi="Times New Roman;Times;Serif"/>
                <w:sz w:val="20"/>
              </w:rPr>
              <w:t>The Warrants shall not entitle the Warrantee to any shareholder rights such as bonus shares or pre-emption rights in the event of a capital increase of the Company.</w:t>
            </w:r>
          </w:p>
        </w:tc>
      </w:tr>
      <w:tr>
        <w:trPr/>
        <w:tc>
          <w:tcPr>
            <w:tcW w:w="301" w:type="dxa"/>
            <w:tcBorders/>
            <w:vAlign w:val="center"/>
          </w:tcPr>
          <w:p>
            <w:pPr>
              <w:pStyle w:val="TableContents"/>
              <w:bidi w:val="0"/>
              <w:spacing w:before="0" w:after="283"/>
              <w:jc w:val="both"/>
              <w:rPr/>
            </w:pPr>
            <w:r>
              <w:rPr/>
              <w:t> </w:t>
            </w:r>
          </w:p>
        </w:tc>
        <w:tc>
          <w:tcPr>
            <w:tcW w:w="468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882" w:type="dxa"/>
            <w:tcBorders/>
            <w:vAlign w:val="center"/>
          </w:tcPr>
          <w:p>
            <w:pPr>
              <w:pStyle w:val="TableContents"/>
              <w:bidi w:val="0"/>
              <w:spacing w:before="0" w:after="283"/>
              <w:jc w:val="both"/>
              <w:rPr/>
            </w:pPr>
            <w:r>
              <w:rPr/>
              <w:t> </w:t>
            </w:r>
          </w:p>
        </w:tc>
      </w:tr>
      <w:tr>
        <w:trPr/>
        <w:tc>
          <w:tcPr>
            <w:tcW w:w="301" w:type="dxa"/>
            <w:tcBorders/>
            <w:vAlign w:val="center"/>
          </w:tcPr>
          <w:p>
            <w:pPr>
              <w:pStyle w:val="TableContents"/>
              <w:bidi w:val="0"/>
              <w:spacing w:before="0" w:after="283"/>
              <w:jc w:val="both"/>
              <w:rPr/>
            </w:pPr>
            <w:r>
              <w:rPr>
                <w:rStyle w:val="SourceText"/>
                <w:rFonts w:ascii="Times New Roman;Times;Serif" w:hAnsi="Times New Roman;Times;Serif"/>
                <w:sz w:val="20"/>
              </w:rPr>
              <w:t>2.5</w:t>
            </w:r>
          </w:p>
        </w:tc>
        <w:tc>
          <w:tcPr>
            <w:tcW w:w="4687" w:type="dxa"/>
            <w:tcBorders/>
            <w:vAlign w:val="center"/>
          </w:tcPr>
          <w:p>
            <w:pPr>
              <w:pStyle w:val="TableContents"/>
              <w:bidi w:val="0"/>
              <w:spacing w:before="0" w:after="283"/>
              <w:jc w:val="both"/>
              <w:rPr/>
            </w:pPr>
            <w:r>
              <w:rPr>
                <w:rStyle w:val="SourceText"/>
                <w:rFonts w:ascii="Times New Roman;Times;Serif" w:hAnsi="Times New Roman;Times;Serif"/>
                <w:sz w:val="20"/>
              </w:rPr>
              <w:t>Selskabet er forpligtet til at føre en fortegnelse over udstedte Warrants, som skal opbevares sammen med Selskabets ejerbog.</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rStyle w:val="SourceText"/>
                <w:rFonts w:ascii="Times New Roman;Times;Serif" w:hAnsi="Times New Roman;Times;Serif"/>
                <w:sz w:val="20"/>
              </w:rPr>
              <w:t>2.5</w:t>
            </w:r>
          </w:p>
        </w:tc>
        <w:tc>
          <w:tcPr>
            <w:tcW w:w="4882" w:type="dxa"/>
            <w:tcBorders/>
            <w:vAlign w:val="center"/>
          </w:tcPr>
          <w:p>
            <w:pPr>
              <w:pStyle w:val="TableContents"/>
              <w:bidi w:val="0"/>
              <w:spacing w:before="0" w:after="283"/>
              <w:jc w:val="both"/>
              <w:rPr/>
            </w:pPr>
            <w:r>
              <w:rPr>
                <w:rStyle w:val="SourceText"/>
                <w:rFonts w:ascii="Times New Roman;Times;Serif" w:hAnsi="Times New Roman;Times;Serif"/>
                <w:sz w:val="20"/>
              </w:rPr>
              <w:t>The Company undertakes to keep and maintain a register of issued Warrants to be kept in connection with the Company's share register.</w:t>
            </w:r>
          </w:p>
        </w:tc>
      </w:tr>
      <w:tr>
        <w:trPr/>
        <w:tc>
          <w:tcPr>
            <w:tcW w:w="301" w:type="dxa"/>
            <w:tcBorders/>
            <w:vAlign w:val="center"/>
          </w:tcPr>
          <w:p>
            <w:pPr>
              <w:pStyle w:val="TableContents"/>
              <w:bidi w:val="0"/>
              <w:spacing w:before="0" w:after="283"/>
              <w:jc w:val="both"/>
              <w:rPr/>
            </w:pPr>
            <w:r>
              <w:rPr/>
              <w:t> </w:t>
            </w:r>
          </w:p>
        </w:tc>
        <w:tc>
          <w:tcPr>
            <w:tcW w:w="468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882" w:type="dxa"/>
            <w:tcBorders/>
            <w:vAlign w:val="center"/>
          </w:tcPr>
          <w:p>
            <w:pPr>
              <w:pStyle w:val="TableContents"/>
              <w:bidi w:val="0"/>
              <w:spacing w:before="0" w:after="283"/>
              <w:jc w:val="both"/>
              <w:rPr/>
            </w:pPr>
            <w:r>
              <w:rPr/>
              <w:t> </w:t>
            </w:r>
          </w:p>
        </w:tc>
      </w:tr>
      <w:tr>
        <w:trPr/>
        <w:tc>
          <w:tcPr>
            <w:tcW w:w="301" w:type="dxa"/>
            <w:tcBorders/>
            <w:vAlign w:val="center"/>
          </w:tcPr>
          <w:p>
            <w:pPr>
              <w:pStyle w:val="TableContents"/>
              <w:bidi w:val="0"/>
              <w:spacing w:before="0" w:after="283"/>
              <w:jc w:val="both"/>
              <w:rPr/>
            </w:pPr>
            <w:r>
              <w:rPr>
                <w:rStyle w:val="SourceText"/>
                <w:rFonts w:ascii="Times New Roman;Times;Serif" w:hAnsi="Times New Roman;Times;Serif"/>
                <w:b/>
                <w:sz w:val="20"/>
              </w:rPr>
              <w:t xml:space="preserve">3 </w:t>
            </w:r>
          </w:p>
        </w:tc>
        <w:tc>
          <w:tcPr>
            <w:tcW w:w="4687" w:type="dxa"/>
            <w:tcBorders/>
            <w:vAlign w:val="center"/>
          </w:tcPr>
          <w:p>
            <w:pPr>
              <w:pStyle w:val="TableContents"/>
              <w:bidi w:val="0"/>
              <w:spacing w:before="0" w:after="283"/>
              <w:jc w:val="both"/>
              <w:rPr/>
            </w:pPr>
            <w:r>
              <w:rPr>
                <w:rStyle w:val="SourceText"/>
                <w:rFonts w:ascii="Times New Roman;Times;Serif" w:hAnsi="Times New Roman;Times;Serif"/>
                <w:b/>
                <w:sz w:val="20"/>
              </w:rPr>
              <w:t>TEGNINGSRET</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rStyle w:val="SourceText"/>
                <w:rFonts w:ascii="Times New Roman;Times;Serif" w:hAnsi="Times New Roman;Times;Serif"/>
                <w:b/>
                <w:sz w:val="20"/>
              </w:rPr>
              <w:t>3.</w:t>
            </w:r>
          </w:p>
        </w:tc>
        <w:tc>
          <w:tcPr>
            <w:tcW w:w="4882" w:type="dxa"/>
            <w:tcBorders/>
            <w:vAlign w:val="center"/>
          </w:tcPr>
          <w:p>
            <w:pPr>
              <w:pStyle w:val="TableContents"/>
              <w:bidi w:val="0"/>
              <w:spacing w:before="0" w:after="283"/>
              <w:jc w:val="both"/>
              <w:rPr/>
            </w:pPr>
            <w:r>
              <w:rPr>
                <w:rStyle w:val="SourceText"/>
                <w:rFonts w:ascii="Times New Roman;Times;Serif" w:hAnsi="Times New Roman;Times;Serif"/>
                <w:b/>
                <w:sz w:val="20"/>
              </w:rPr>
              <w:t>SUBSCRIPTION PRICE</w:t>
            </w:r>
          </w:p>
        </w:tc>
      </w:tr>
      <w:tr>
        <w:trPr/>
        <w:tc>
          <w:tcPr>
            <w:tcW w:w="301" w:type="dxa"/>
            <w:tcBorders/>
            <w:vAlign w:val="center"/>
          </w:tcPr>
          <w:p>
            <w:pPr>
              <w:pStyle w:val="TableContents"/>
              <w:bidi w:val="0"/>
              <w:spacing w:before="0" w:after="283"/>
              <w:jc w:val="both"/>
              <w:rPr/>
            </w:pPr>
            <w:r>
              <w:rPr/>
              <w:t> </w:t>
            </w:r>
          </w:p>
        </w:tc>
        <w:tc>
          <w:tcPr>
            <w:tcW w:w="468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882" w:type="dxa"/>
            <w:tcBorders/>
            <w:vAlign w:val="center"/>
          </w:tcPr>
          <w:p>
            <w:pPr>
              <w:pStyle w:val="TableContents"/>
              <w:bidi w:val="0"/>
              <w:spacing w:before="0" w:after="283"/>
              <w:jc w:val="both"/>
              <w:rPr/>
            </w:pPr>
            <w:r>
              <w:rPr/>
              <w:t> </w:t>
            </w:r>
          </w:p>
        </w:tc>
      </w:tr>
      <w:tr>
        <w:trPr/>
        <w:tc>
          <w:tcPr>
            <w:tcW w:w="301" w:type="dxa"/>
            <w:tcBorders/>
            <w:vAlign w:val="center"/>
          </w:tcPr>
          <w:p>
            <w:pPr>
              <w:pStyle w:val="TableContents"/>
              <w:bidi w:val="0"/>
              <w:spacing w:before="0" w:after="283"/>
              <w:jc w:val="both"/>
              <w:rPr/>
            </w:pPr>
            <w:r>
              <w:rPr>
                <w:rStyle w:val="SourceText"/>
                <w:rFonts w:ascii="Times New Roman;Times;Serif" w:hAnsi="Times New Roman;Times;Serif"/>
                <w:sz w:val="20"/>
              </w:rPr>
              <w:t xml:space="preserve">3.1 </w:t>
            </w:r>
          </w:p>
        </w:tc>
        <w:tc>
          <w:tcPr>
            <w:tcW w:w="4687" w:type="dxa"/>
            <w:tcBorders/>
            <w:vAlign w:val="center"/>
          </w:tcPr>
          <w:p>
            <w:pPr>
              <w:pStyle w:val="TableContents"/>
              <w:bidi w:val="0"/>
              <w:spacing w:before="0" w:after="283"/>
              <w:jc w:val="both"/>
              <w:rPr/>
            </w:pPr>
            <w:r>
              <w:rPr>
                <w:rStyle w:val="SourceText"/>
                <w:rFonts w:ascii="Times New Roman;Times;Serif" w:hAnsi="Times New Roman;Times;Serif"/>
                <w:sz w:val="20"/>
              </w:rPr>
              <w:t>Hver Warrant giver Warrantindehaveren ret til at tegne én kapitalandel à nominelt kr. 1 i Selskabet til en pris af kr. 1 ("Tegningsprisen").</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rStyle w:val="SourceText"/>
                <w:rFonts w:ascii="Times New Roman;Times;Serif" w:hAnsi="Times New Roman;Times;Serif"/>
                <w:sz w:val="20"/>
              </w:rPr>
              <w:t>3.1</w:t>
            </w:r>
          </w:p>
        </w:tc>
        <w:tc>
          <w:tcPr>
            <w:tcW w:w="4882" w:type="dxa"/>
            <w:tcBorders/>
            <w:vAlign w:val="center"/>
          </w:tcPr>
          <w:p>
            <w:pPr>
              <w:pStyle w:val="TableContents"/>
              <w:bidi w:val="0"/>
              <w:spacing w:before="0" w:after="283"/>
              <w:jc w:val="both"/>
              <w:rPr/>
            </w:pPr>
            <w:r>
              <w:rPr>
                <w:rStyle w:val="SourceText"/>
                <w:rFonts w:ascii="Times New Roman;Times;Serif" w:hAnsi="Times New Roman;Times;Serif"/>
                <w:sz w:val="20"/>
              </w:rPr>
              <w:t>Each Warrant gives the Warrantee the right to subscribe for one share with a nominal value of DKK 1 in the Company at a price of DKK 1 (the "Subscription Price").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5328"/>
        <w:gridCol w:w="60"/>
        <w:gridCol w:w="275"/>
        <w:gridCol w:w="4252"/>
      </w:tblGrid>
      <w:tr>
        <w:trPr/>
        <w:tc>
          <w:tcPr>
            <w:tcW w:w="290" w:type="dxa"/>
            <w:tcBorders/>
            <w:vAlign w:val="center"/>
          </w:tcPr>
          <w:p>
            <w:pPr>
              <w:pStyle w:val="TableContents"/>
              <w:bidi w:val="0"/>
              <w:spacing w:before="0" w:after="283"/>
              <w:jc w:val="both"/>
              <w:rPr/>
            </w:pPr>
            <w:r>
              <w:rPr>
                <w:rStyle w:val="SourceText"/>
                <w:rFonts w:ascii="Times New Roman;Times;Serif" w:hAnsi="Times New Roman;Times;Serif"/>
                <w:b/>
                <w:sz w:val="20"/>
              </w:rPr>
              <w:t xml:space="preserve">4 </w:t>
            </w:r>
          </w:p>
        </w:tc>
        <w:tc>
          <w:tcPr>
            <w:tcW w:w="5328" w:type="dxa"/>
            <w:tcBorders/>
            <w:vAlign w:val="center"/>
          </w:tcPr>
          <w:p>
            <w:pPr>
              <w:pStyle w:val="TableContents"/>
              <w:bidi w:val="0"/>
              <w:spacing w:before="0" w:after="283"/>
              <w:jc w:val="both"/>
              <w:rPr/>
            </w:pPr>
            <w:r>
              <w:rPr>
                <w:rStyle w:val="SourceText"/>
                <w:rFonts w:ascii="Times New Roman;Times;Serif" w:hAnsi="Times New Roman;Times;Serif"/>
                <w:b/>
                <w:sz w:val="20"/>
              </w:rPr>
              <w:t>UDNYTTELSE AF WARRANTS</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rStyle w:val="SourceText"/>
                <w:rFonts w:ascii="Times New Roman;Times;Serif" w:hAnsi="Times New Roman;Times;Serif"/>
                <w:b/>
                <w:sz w:val="20"/>
              </w:rPr>
              <w:t>4.</w:t>
            </w:r>
          </w:p>
        </w:tc>
        <w:tc>
          <w:tcPr>
            <w:tcW w:w="4252" w:type="dxa"/>
            <w:tcBorders/>
            <w:vAlign w:val="center"/>
          </w:tcPr>
          <w:p>
            <w:pPr>
              <w:pStyle w:val="TableContents"/>
              <w:bidi w:val="0"/>
              <w:spacing w:before="0" w:after="283"/>
              <w:jc w:val="both"/>
              <w:rPr/>
            </w:pPr>
            <w:r>
              <w:rPr>
                <w:rStyle w:val="SourceText"/>
                <w:rFonts w:ascii="Times New Roman;Times;Serif" w:hAnsi="Times New Roman;Times;Serif"/>
                <w:b/>
                <w:sz w:val="20"/>
              </w:rPr>
              <w:t>EXERCISE OF WARRANTS</w:t>
            </w:r>
          </w:p>
        </w:tc>
      </w:tr>
      <w:tr>
        <w:trPr/>
        <w:tc>
          <w:tcPr>
            <w:tcW w:w="290" w:type="dxa"/>
            <w:tcBorders/>
            <w:vAlign w:val="center"/>
          </w:tcPr>
          <w:p>
            <w:pPr>
              <w:pStyle w:val="TableContents"/>
              <w:bidi w:val="0"/>
              <w:spacing w:before="0" w:after="283"/>
              <w:jc w:val="both"/>
              <w:rPr/>
            </w:pPr>
            <w:r>
              <w:rPr/>
              <w:t> </w:t>
            </w:r>
          </w:p>
        </w:tc>
        <w:tc>
          <w:tcPr>
            <w:tcW w:w="532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252"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pPr>
            <w:r>
              <w:rPr>
                <w:rStyle w:val="SourceText"/>
                <w:rFonts w:ascii="Times New Roman;Times;Serif" w:hAnsi="Times New Roman;Times;Serif"/>
                <w:sz w:val="20"/>
              </w:rPr>
              <w:t>4.1</w:t>
            </w:r>
          </w:p>
        </w:tc>
        <w:tc>
          <w:tcPr>
            <w:tcW w:w="5328" w:type="dxa"/>
            <w:tcBorders/>
            <w:vAlign w:val="center"/>
          </w:tcPr>
          <w:p>
            <w:pPr>
              <w:pStyle w:val="TableContents"/>
              <w:bidi w:val="0"/>
              <w:spacing w:before="0" w:after="283"/>
              <w:jc w:val="both"/>
              <w:rPr/>
            </w:pPr>
            <w:r>
              <w:rPr>
                <w:rStyle w:val="SourceText"/>
                <w:rFonts w:ascii="Times New Roman;Times;Serif" w:hAnsi="Times New Roman;Times;Serif"/>
                <w:sz w:val="20"/>
              </w:rPr>
              <w:t>Warrantindehaveren kan udnytte alle eller en del af Warrants (i) i forbindelse med en Exit (se punkt 4.2) eller (ii) på et tidspunkt, der fastsættes af Bestyrelsen (et "Vindue").</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rStyle w:val="SourceText"/>
                <w:rFonts w:ascii="Times New Roman;Times;Serif" w:hAnsi="Times New Roman;Times;Serif"/>
                <w:sz w:val="20"/>
              </w:rPr>
              <w:t>4.1</w:t>
            </w:r>
          </w:p>
        </w:tc>
        <w:tc>
          <w:tcPr>
            <w:tcW w:w="4252" w:type="dxa"/>
            <w:tcBorders/>
            <w:vAlign w:val="center"/>
          </w:tcPr>
          <w:p>
            <w:pPr>
              <w:pStyle w:val="TableContents"/>
              <w:bidi w:val="0"/>
              <w:spacing w:before="0" w:after="283"/>
              <w:jc w:val="both"/>
              <w:rPr/>
            </w:pPr>
            <w:r>
              <w:rPr>
                <w:rStyle w:val="SourceText"/>
                <w:rFonts w:ascii="Times New Roman;Times;Serif" w:hAnsi="Times New Roman;Times;Serif"/>
                <w:sz w:val="20"/>
              </w:rPr>
              <w:t>The Warrantee may exercise all or part of the Warrants (i) in connection with an Exit (see Clause 4.2) or (ii) at any time determined by the Board (a "Window").</w:t>
            </w:r>
          </w:p>
        </w:tc>
      </w:tr>
      <w:tr>
        <w:trPr/>
        <w:tc>
          <w:tcPr>
            <w:tcW w:w="290" w:type="dxa"/>
            <w:tcBorders/>
            <w:vAlign w:val="center"/>
          </w:tcPr>
          <w:p>
            <w:pPr>
              <w:pStyle w:val="TableContents"/>
              <w:bidi w:val="0"/>
              <w:spacing w:before="0" w:after="283"/>
              <w:jc w:val="both"/>
              <w:rPr/>
            </w:pPr>
            <w:r>
              <w:rPr/>
              <w:t> </w:t>
            </w:r>
          </w:p>
        </w:tc>
        <w:tc>
          <w:tcPr>
            <w:tcW w:w="532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252"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pPr>
            <w:r>
              <w:rPr>
                <w:rStyle w:val="SourceText"/>
                <w:rFonts w:ascii="Times New Roman;Times;Serif" w:hAnsi="Times New Roman;Times;Serif"/>
                <w:sz w:val="20"/>
              </w:rPr>
              <w:t>4.2</w:t>
            </w:r>
          </w:p>
        </w:tc>
        <w:tc>
          <w:tcPr>
            <w:tcW w:w="5328" w:type="dxa"/>
            <w:tcBorders/>
            <w:vAlign w:val="center"/>
          </w:tcPr>
          <w:p>
            <w:pPr>
              <w:pStyle w:val="TableContents"/>
              <w:bidi w:val="0"/>
              <w:spacing w:before="0" w:after="283"/>
              <w:jc w:val="both"/>
              <w:rPr/>
            </w:pPr>
            <w:r>
              <w:rPr>
                <w:rStyle w:val="SourceText"/>
                <w:rFonts w:ascii="Times New Roman;Times;Serif" w:hAnsi="Times New Roman;Times;Serif"/>
                <w:sz w:val="20"/>
              </w:rPr>
              <w:t>"Exit" betyder (a) en ændring i ejerforholdene i Selskabet, hvorved en uafhængig tredjemand erhverver 50% eller mere af selskabskapitalen i Selskabet eller kommer til at kontrollere mere end 50 % af stemmerne i Selskabet; (b) en børsnotering af Selskabets aktier; (c) salg eller overdragelse af samtlige eller en væsentlig del af Selskabet aktiver; (d) en fusion med Selskabet som det ophørende selskab; eller (e) en kombination af (a)-(d).</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rStyle w:val="SourceText"/>
                <w:rFonts w:ascii="Times New Roman;Times;Serif" w:hAnsi="Times New Roman;Times;Serif"/>
                <w:sz w:val="20"/>
              </w:rPr>
              <w:t>4.2</w:t>
            </w:r>
          </w:p>
        </w:tc>
        <w:tc>
          <w:tcPr>
            <w:tcW w:w="4252" w:type="dxa"/>
            <w:tcBorders/>
            <w:vAlign w:val="center"/>
          </w:tcPr>
          <w:p>
            <w:pPr>
              <w:pStyle w:val="TableContents"/>
              <w:bidi w:val="0"/>
              <w:spacing w:before="0" w:after="283"/>
              <w:jc w:val="both"/>
              <w:rPr/>
            </w:pPr>
            <w:r>
              <w:rPr>
                <w:rStyle w:val="SourceText"/>
                <w:rFonts w:ascii="Times New Roman;Times;Serif" w:hAnsi="Times New Roman;Times;Serif"/>
                <w:sz w:val="20"/>
              </w:rPr>
              <w:t>An "Exit" shall mean (a) a change of control in the Company whereby any independent third party acquires 50% or more of the share capital in the Company or comes to control more than 50% of the votes in the Company; (b) an initial public offering of the Company's shares ("IPO"); (c) the sale or disposition of all or a material part of the Company's assets; (d) a merger whereby the Company is the discontinuing entity; or (e) a combination of (a)-(d) above.</w:t>
            </w:r>
          </w:p>
        </w:tc>
      </w:tr>
      <w:tr>
        <w:trPr/>
        <w:tc>
          <w:tcPr>
            <w:tcW w:w="290" w:type="dxa"/>
            <w:tcBorders/>
            <w:vAlign w:val="center"/>
          </w:tcPr>
          <w:p>
            <w:pPr>
              <w:pStyle w:val="TableContents"/>
              <w:bidi w:val="0"/>
              <w:spacing w:before="0" w:after="283"/>
              <w:jc w:val="both"/>
              <w:rPr/>
            </w:pPr>
            <w:r>
              <w:rPr/>
              <w:t> </w:t>
            </w:r>
          </w:p>
        </w:tc>
        <w:tc>
          <w:tcPr>
            <w:tcW w:w="532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252"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pPr>
            <w:r>
              <w:rPr>
                <w:rStyle w:val="SourceText"/>
                <w:rFonts w:ascii="Times New Roman;Times;Serif" w:hAnsi="Times New Roman;Times;Serif"/>
                <w:sz w:val="20"/>
              </w:rPr>
              <w:t>4.3</w:t>
            </w:r>
          </w:p>
        </w:tc>
        <w:tc>
          <w:tcPr>
            <w:tcW w:w="5328" w:type="dxa"/>
            <w:tcBorders/>
            <w:vAlign w:val="center"/>
          </w:tcPr>
          <w:p>
            <w:pPr>
              <w:pStyle w:val="TableContents"/>
              <w:bidi w:val="0"/>
              <w:spacing w:before="0" w:after="283"/>
              <w:jc w:val="both"/>
              <w:rPr/>
            </w:pPr>
            <w:r>
              <w:rPr>
                <w:rStyle w:val="SourceText"/>
                <w:rFonts w:ascii="Times New Roman;Times;Serif" w:hAnsi="Times New Roman;Times;Serif"/>
                <w:sz w:val="20"/>
              </w:rPr>
              <w:t>I tilfælde af en Exit skal Selskabet udstede en skriftlig meddelelse herom ("Meddelelse om Exit") til Warrantindehaveren. Meddelelsen om Exit skal indeholde relevante oplysninger om fremgangsmåden, bilagt en formular til meddelelse om udnyttelse ("Udnyttelsesmeddelelsen") samt eventuelt en yderligere forpligtelseserklæring, som Selskabet efter eget skøn måtte forlange (f.eks. tiltrædelsesdokument til en aftale om køb og salg af anparter eller lignende forpligtelser til overdragelse af anparter, der er tegnet ved udnyttelse af Warrants), og som skal underskrives af Warrantindehaveren ("Yderligere Forpligtelseserklæring").</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rStyle w:val="SourceText"/>
                <w:rFonts w:ascii="Times New Roman;Times;Serif" w:hAnsi="Times New Roman;Times;Serif"/>
                <w:sz w:val="20"/>
              </w:rPr>
              <w:t>4.3</w:t>
            </w:r>
          </w:p>
        </w:tc>
        <w:tc>
          <w:tcPr>
            <w:tcW w:w="4252" w:type="dxa"/>
            <w:tcBorders/>
            <w:vAlign w:val="center"/>
          </w:tcPr>
          <w:p>
            <w:pPr>
              <w:pStyle w:val="TableContents"/>
              <w:bidi w:val="0"/>
              <w:spacing w:before="0" w:after="283"/>
              <w:jc w:val="both"/>
              <w:rPr/>
            </w:pPr>
            <w:r>
              <w:rPr>
                <w:rStyle w:val="SourceText"/>
                <w:rFonts w:ascii="Times New Roman;Times;Serif" w:hAnsi="Times New Roman;Times;Serif"/>
                <w:sz w:val="20"/>
              </w:rPr>
              <w:t>In the event of an Exit, the Company shall issue a written notice of Exit ("Exit Notice") to the Warrantee. The Exit Notice shall include relevant information on the process and be accompanied by a form of exercise notice (the "Exercise Notice") together with any supplementary undertakings as may be required by the Company at its discretion (for instance adherence documentation to a share sale and purchase agreement or similar undertakings to transfer the shares subscribed for by exercise of the Warrants) to be signed by the Warrantee (the "Supplementary Undertakings").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5343"/>
        <w:gridCol w:w="60"/>
        <w:gridCol w:w="275"/>
        <w:gridCol w:w="4237"/>
      </w:tblGrid>
      <w:tr>
        <w:trPr/>
        <w:tc>
          <w:tcPr>
            <w:tcW w:w="290" w:type="dxa"/>
            <w:tcBorders/>
            <w:vAlign w:val="center"/>
          </w:tcPr>
          <w:p>
            <w:pPr>
              <w:pStyle w:val="TableContents"/>
              <w:bidi w:val="0"/>
              <w:spacing w:before="0" w:after="283"/>
              <w:jc w:val="both"/>
              <w:rPr/>
            </w:pPr>
            <w:r>
              <w:rPr>
                <w:rStyle w:val="SourceText"/>
                <w:rFonts w:ascii="Times New Roman;Times;Serif" w:hAnsi="Times New Roman;Times;Serif"/>
                <w:sz w:val="20"/>
              </w:rPr>
              <w:t>4.4</w:t>
            </w:r>
          </w:p>
        </w:tc>
        <w:tc>
          <w:tcPr>
            <w:tcW w:w="5343" w:type="dxa"/>
            <w:tcBorders/>
            <w:vAlign w:val="center"/>
          </w:tcPr>
          <w:p>
            <w:pPr>
              <w:pStyle w:val="TableContents"/>
              <w:bidi w:val="0"/>
              <w:spacing w:before="0" w:after="283"/>
              <w:jc w:val="both"/>
              <w:rPr/>
            </w:pPr>
            <w:r>
              <w:rPr>
                <w:rStyle w:val="SourceText"/>
                <w:rFonts w:ascii="Times New Roman;Times;Serif" w:hAnsi="Times New Roman;Times;Serif"/>
                <w:sz w:val="20"/>
              </w:rPr>
              <w:t>Meddelelse om udnyttelse af Warrants finder sted, ved at Warrantindehaveren fremsender "Udnyttelsesmeddelelsen" til Selskabet med oplysning om det ønskede antal kapitalandele samt en eventuel Yderligere Forpligtelseserklæring. Samtidig med fremsendelsen af Udnyttelsesmeddelelsen og eventuelt Yderligere Forpligtelseserklæring skal Warrantindehaveren betale et kontant beløb til Selskabet svarende til det relevante tegningsbeløb.</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rStyle w:val="SourceText"/>
                <w:rFonts w:ascii="Times New Roman;Times;Serif" w:hAnsi="Times New Roman;Times;Serif"/>
                <w:sz w:val="20"/>
              </w:rPr>
              <w:t>4.4</w:t>
            </w:r>
          </w:p>
        </w:tc>
        <w:tc>
          <w:tcPr>
            <w:tcW w:w="4237" w:type="dxa"/>
            <w:tcBorders/>
            <w:vAlign w:val="center"/>
          </w:tcPr>
          <w:p>
            <w:pPr>
              <w:pStyle w:val="TableContents"/>
              <w:bidi w:val="0"/>
              <w:spacing w:before="0" w:after="283"/>
              <w:jc w:val="both"/>
              <w:rPr/>
            </w:pPr>
            <w:r>
              <w:rPr>
                <w:rStyle w:val="SourceText"/>
                <w:rFonts w:ascii="Times New Roman;Times;Serif" w:hAnsi="Times New Roman;Times;Serif"/>
                <w:sz w:val="20"/>
              </w:rPr>
              <w:t>Notification of exercise of the Warrants takes place by the Warrantee's submission to the Company of the Exercise Notice stating the number of shares requested together with any Supplementary Undertakings. At the same time of submitting the Exercise Notice and any Supplementary Undertakings, the Warrantee shall pay in cash to the Company an amount equal to the relevant subscription amount.</w:t>
            </w:r>
          </w:p>
        </w:tc>
      </w:tr>
      <w:tr>
        <w:trPr/>
        <w:tc>
          <w:tcPr>
            <w:tcW w:w="290" w:type="dxa"/>
            <w:tcBorders/>
            <w:vAlign w:val="center"/>
          </w:tcPr>
          <w:p>
            <w:pPr>
              <w:pStyle w:val="TableContents"/>
              <w:bidi w:val="0"/>
              <w:spacing w:before="0" w:after="283"/>
              <w:jc w:val="both"/>
              <w:rPr/>
            </w:pPr>
            <w:r>
              <w:rPr/>
              <w:t> </w:t>
            </w:r>
          </w:p>
        </w:tc>
        <w:tc>
          <w:tcPr>
            <w:tcW w:w="534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237"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pPr>
            <w:r>
              <w:rPr>
                <w:rStyle w:val="SourceText"/>
                <w:rFonts w:ascii="Times New Roman;Times;Serif" w:hAnsi="Times New Roman;Times;Serif"/>
                <w:sz w:val="20"/>
              </w:rPr>
              <w:t>4.5</w:t>
            </w:r>
          </w:p>
        </w:tc>
        <w:tc>
          <w:tcPr>
            <w:tcW w:w="5343" w:type="dxa"/>
            <w:tcBorders/>
            <w:vAlign w:val="center"/>
          </w:tcPr>
          <w:p>
            <w:pPr>
              <w:pStyle w:val="TableContents"/>
              <w:bidi w:val="0"/>
              <w:spacing w:before="0" w:after="283"/>
              <w:jc w:val="both"/>
              <w:rPr/>
            </w:pPr>
            <w:r>
              <w:rPr>
                <w:rStyle w:val="SourceText"/>
                <w:rFonts w:ascii="Times New Roman;Times;Serif" w:hAnsi="Times New Roman;Times;Serif"/>
                <w:sz w:val="20"/>
              </w:rPr>
              <w:t>Medmindre Selskabet bestemmer andet, vil samtlige Warrants automatisk bortfalde uden yderligere varsel og uden kompensation, hvis en Udnyttelsesmeddelelse og en eventuel Yderligere Forpligtelseserklæring samt betaling af det relevante tegningsbeløb ikke er fremsendt senest to (2) uger efter datoen for Meddelelsen om Exit.</w:t>
            </w:r>
          </w:p>
        </w:tc>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rStyle w:val="SourceText"/>
                <w:rFonts w:ascii="Times New Roman;Times;Serif" w:hAnsi="Times New Roman;Times;Serif"/>
                <w:sz w:val="20"/>
              </w:rPr>
              <w:t>4.5</w:t>
            </w:r>
          </w:p>
        </w:tc>
        <w:tc>
          <w:tcPr>
            <w:tcW w:w="4237" w:type="dxa"/>
            <w:tcBorders/>
            <w:vAlign w:val="center"/>
          </w:tcPr>
          <w:p>
            <w:pPr>
              <w:pStyle w:val="TableContents"/>
              <w:bidi w:val="0"/>
              <w:spacing w:before="0" w:after="283"/>
              <w:jc w:val="both"/>
              <w:rPr/>
            </w:pPr>
            <w:r>
              <w:rPr>
                <w:rStyle w:val="SourceText"/>
                <w:rFonts w:ascii="Times New Roman;Times;Serif" w:hAnsi="Times New Roman;Times;Serif"/>
                <w:sz w:val="20"/>
              </w:rPr>
              <w:t>Unless otherwise decided by the Company, if an Exercise Notice and any Supplementary Undertakings together with payment of the relevant subscription amount is not submitted no later than two (2) weeks from the date of the Exit Notice, all Warrants shall automatically and without further notice or compensation lapse and become null and void.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4846"/>
        <w:gridCol w:w="60"/>
        <w:gridCol w:w="380"/>
        <w:gridCol w:w="4524"/>
      </w:tblGrid>
      <w:tr>
        <w:trPr/>
        <w:tc>
          <w:tcPr>
            <w:tcW w:w="395" w:type="dxa"/>
            <w:tcBorders/>
            <w:vAlign w:val="center"/>
          </w:tcPr>
          <w:p>
            <w:pPr>
              <w:pStyle w:val="TableContents"/>
              <w:bidi w:val="0"/>
              <w:spacing w:before="0" w:after="283"/>
              <w:jc w:val="left"/>
              <w:rPr/>
            </w:pPr>
            <w:r>
              <w:rPr>
                <w:rStyle w:val="SourceText"/>
                <w:rFonts w:ascii="Times New Roman;Times;Serif" w:hAnsi="Times New Roman;Times;Serif"/>
                <w:sz w:val="20"/>
              </w:rPr>
              <w:t>4.6</w:t>
            </w:r>
          </w:p>
        </w:tc>
        <w:tc>
          <w:tcPr>
            <w:tcW w:w="4846" w:type="dxa"/>
            <w:tcBorders/>
            <w:vAlign w:val="center"/>
          </w:tcPr>
          <w:p>
            <w:pPr>
              <w:pStyle w:val="TableContents"/>
              <w:bidi w:val="0"/>
              <w:spacing w:before="0" w:after="283"/>
              <w:jc w:val="both"/>
              <w:rPr/>
            </w:pPr>
            <w:r>
              <w:rPr>
                <w:rStyle w:val="SourceText"/>
                <w:rFonts w:ascii="Times New Roman;Times;Serif" w:hAnsi="Times New Roman;Times;Serif"/>
                <w:sz w:val="20"/>
              </w:rPr>
              <w:t>Warrants, der ikke udnyttes i forbindelse med en Exit, vil automatisk bortfalde uden kompensation efter gennemførelsen af den relevante begivenhed.</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rStyle w:val="SourceText"/>
                <w:rFonts w:ascii="Times New Roman;Times;Serif" w:hAnsi="Times New Roman;Times;Serif"/>
                <w:sz w:val="20"/>
              </w:rPr>
              <w:t>4.6</w:t>
            </w:r>
          </w:p>
        </w:tc>
        <w:tc>
          <w:tcPr>
            <w:tcW w:w="4524" w:type="dxa"/>
            <w:tcBorders/>
            <w:vAlign w:val="center"/>
          </w:tcPr>
          <w:p>
            <w:pPr>
              <w:pStyle w:val="TableContents"/>
              <w:bidi w:val="0"/>
              <w:spacing w:before="0" w:after="283"/>
              <w:jc w:val="both"/>
              <w:rPr/>
            </w:pPr>
            <w:r>
              <w:rPr>
                <w:rStyle w:val="SourceText"/>
                <w:rFonts w:ascii="Times New Roman;Times;Serif" w:hAnsi="Times New Roman;Times;Serif"/>
                <w:sz w:val="20"/>
              </w:rPr>
              <w:t>Any Warrants that are not exercised in connection with an Exit shall automatically become void without compensation, following the completion of the relevant event.</w:t>
            </w:r>
          </w:p>
        </w:tc>
      </w:tr>
      <w:tr>
        <w:trPr/>
        <w:tc>
          <w:tcPr>
            <w:tcW w:w="395" w:type="dxa"/>
            <w:tcBorders/>
            <w:vAlign w:val="center"/>
          </w:tcPr>
          <w:p>
            <w:pPr>
              <w:pStyle w:val="TableContents"/>
              <w:bidi w:val="0"/>
              <w:spacing w:before="0" w:after="283"/>
              <w:jc w:val="left"/>
              <w:rPr/>
            </w:pPr>
            <w:r>
              <w:rPr/>
              <w:t> </w:t>
            </w:r>
          </w:p>
        </w:tc>
        <w:tc>
          <w:tcPr>
            <w:tcW w:w="48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4524"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rStyle w:val="SourceText"/>
                <w:rFonts w:ascii="Times New Roman;Times;Serif" w:hAnsi="Times New Roman;Times;Serif"/>
                <w:sz w:val="20"/>
              </w:rPr>
              <w:t>4.7</w:t>
            </w:r>
          </w:p>
        </w:tc>
        <w:tc>
          <w:tcPr>
            <w:tcW w:w="4846" w:type="dxa"/>
            <w:tcBorders/>
            <w:vAlign w:val="center"/>
          </w:tcPr>
          <w:p>
            <w:pPr>
              <w:pStyle w:val="TableContents"/>
              <w:bidi w:val="0"/>
              <w:spacing w:before="0" w:after="283"/>
              <w:jc w:val="both"/>
              <w:rPr/>
            </w:pPr>
            <w:r>
              <w:rPr>
                <w:rStyle w:val="SourceText"/>
                <w:rFonts w:ascii="Times New Roman;Times;Serif" w:hAnsi="Times New Roman;Times;Serif"/>
                <w:sz w:val="20"/>
              </w:rPr>
              <w:t>Såfremt der efter Meddelelsen om Exit ikke sker en endelig gennemførelse af Exit, beholder Warrantindehaveren sine Warrants i henhold til vilkårene i denne Aftale. Hvis Warrantindehaveren har tegnet kapitalandele i Selskabet gennem udnyttelse af Warrants, og disse nye kapitalandele er blevet registreret i Erhvervsstyrelsen, beholder Warrantindehaveren de tegnede kapitalandele, uanset at den bebudede Exit ikke er endeligt gennemført, og de udnyttede Warrants skal ikke tilbageføres. Både Selskabet og Warrantindehaveren har dog ret til efter eget skøn at forlange, at Selskabet tilbagekøber de erhvervede kapitalandele til Tegningsprisen.</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rStyle w:val="SourceText"/>
                <w:rFonts w:ascii="Times New Roman;Times;Serif" w:hAnsi="Times New Roman;Times;Serif"/>
                <w:sz w:val="20"/>
              </w:rPr>
              <w:t>4.7</w:t>
            </w:r>
          </w:p>
        </w:tc>
        <w:tc>
          <w:tcPr>
            <w:tcW w:w="4524" w:type="dxa"/>
            <w:tcBorders/>
            <w:vAlign w:val="center"/>
          </w:tcPr>
          <w:p>
            <w:pPr>
              <w:pStyle w:val="TableContents"/>
              <w:bidi w:val="0"/>
              <w:spacing w:before="0" w:after="283"/>
              <w:jc w:val="both"/>
              <w:rPr/>
            </w:pPr>
            <w:r>
              <w:rPr>
                <w:rStyle w:val="SourceText"/>
                <w:rFonts w:ascii="Times New Roman;Times;Serif" w:hAnsi="Times New Roman;Times;Serif"/>
                <w:sz w:val="20"/>
              </w:rPr>
              <w:t>In the event that an Exit is not finally completed following an Exit Notice, the Warrantee's right to the Warrants as set out in the Agreement shall be retained. In the event that shares have been subscribed for in the Company by exercise of Warrants and such new shares have been registered with the Danish Business Authority, the shares subscribed for shall be retained notwithstanding a notified Exit is not finally completed and the exercised Warrants shall not be reversed, however, both the Company and the Warrantee may on a discretionary basis request that the Company shall repurchase the shares acquired at the Subscription Price.</w:t>
            </w:r>
          </w:p>
        </w:tc>
      </w:tr>
      <w:tr>
        <w:trPr/>
        <w:tc>
          <w:tcPr>
            <w:tcW w:w="395" w:type="dxa"/>
            <w:tcBorders/>
            <w:vAlign w:val="center"/>
          </w:tcPr>
          <w:p>
            <w:pPr>
              <w:pStyle w:val="TableContents"/>
              <w:bidi w:val="0"/>
              <w:spacing w:before="0" w:after="283"/>
              <w:jc w:val="left"/>
              <w:rPr/>
            </w:pPr>
            <w:r>
              <w:rPr/>
              <w:t> </w:t>
            </w:r>
          </w:p>
        </w:tc>
        <w:tc>
          <w:tcPr>
            <w:tcW w:w="48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4524"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rStyle w:val="SourceText"/>
                <w:rFonts w:ascii="Times New Roman;Times;Serif" w:hAnsi="Times New Roman;Times;Serif"/>
                <w:sz w:val="20"/>
              </w:rPr>
              <w:t>4.8</w:t>
            </w:r>
          </w:p>
        </w:tc>
        <w:tc>
          <w:tcPr>
            <w:tcW w:w="4846" w:type="dxa"/>
            <w:tcBorders/>
            <w:vAlign w:val="center"/>
          </w:tcPr>
          <w:p>
            <w:pPr>
              <w:pStyle w:val="TableContents"/>
              <w:bidi w:val="0"/>
              <w:spacing w:before="0" w:after="283"/>
              <w:jc w:val="both"/>
              <w:rPr/>
            </w:pPr>
            <w:r>
              <w:rPr>
                <w:rStyle w:val="SourceText"/>
                <w:rFonts w:ascii="Times New Roman;Times;Serif" w:hAnsi="Times New Roman;Times;Serif"/>
                <w:sz w:val="20"/>
              </w:rPr>
              <w:t>Såfremt der oprettes et Vindue, skal punkt 4.3 - 4.5 samtidig være gældende.</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rStyle w:val="SourceText"/>
                <w:rFonts w:ascii="Times New Roman;Times;Serif" w:hAnsi="Times New Roman;Times;Serif"/>
                <w:sz w:val="20"/>
              </w:rPr>
              <w:t>4.8</w:t>
            </w:r>
          </w:p>
        </w:tc>
        <w:tc>
          <w:tcPr>
            <w:tcW w:w="4524" w:type="dxa"/>
            <w:tcBorders/>
            <w:vAlign w:val="center"/>
          </w:tcPr>
          <w:p>
            <w:pPr>
              <w:pStyle w:val="TableContents"/>
              <w:bidi w:val="0"/>
              <w:spacing w:before="0" w:after="283"/>
              <w:jc w:val="both"/>
              <w:rPr/>
            </w:pPr>
            <w:r>
              <w:rPr>
                <w:rStyle w:val="SourceText"/>
                <w:rFonts w:ascii="Times New Roman;Times;Serif" w:hAnsi="Times New Roman;Times;Serif"/>
                <w:sz w:val="20"/>
              </w:rPr>
              <w:t>In case a Window is established Clauses 4.3-4.5 shall apply simultaneously.</w:t>
            </w:r>
          </w:p>
        </w:tc>
      </w:tr>
      <w:tr>
        <w:trPr/>
        <w:tc>
          <w:tcPr>
            <w:tcW w:w="395" w:type="dxa"/>
            <w:tcBorders/>
            <w:vAlign w:val="center"/>
          </w:tcPr>
          <w:p>
            <w:pPr>
              <w:pStyle w:val="TableContents"/>
              <w:bidi w:val="0"/>
              <w:spacing w:before="0" w:after="283"/>
              <w:jc w:val="left"/>
              <w:rPr/>
            </w:pPr>
            <w:r>
              <w:rPr/>
              <w:t> </w:t>
            </w:r>
          </w:p>
        </w:tc>
        <w:tc>
          <w:tcPr>
            <w:tcW w:w="48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4524"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rStyle w:val="SourceText"/>
                <w:rFonts w:ascii="Times New Roman;Times;Serif" w:hAnsi="Times New Roman;Times;Serif"/>
                <w:sz w:val="20"/>
              </w:rPr>
              <w:t>4.9</w:t>
            </w:r>
          </w:p>
        </w:tc>
        <w:tc>
          <w:tcPr>
            <w:tcW w:w="4846" w:type="dxa"/>
            <w:tcBorders/>
            <w:vAlign w:val="center"/>
          </w:tcPr>
          <w:p>
            <w:pPr>
              <w:pStyle w:val="TableContents"/>
              <w:bidi w:val="0"/>
              <w:spacing w:before="0" w:after="283"/>
              <w:jc w:val="both"/>
              <w:rPr/>
            </w:pPr>
            <w:r>
              <w:rPr>
                <w:rStyle w:val="SourceText"/>
                <w:rFonts w:ascii="Times New Roman;Times;Serif" w:hAnsi="Times New Roman;Times;Serif"/>
                <w:sz w:val="20"/>
              </w:rPr>
              <w:t>Warrants, der ikke udnyttes i forbindelse med et Vindue, bortfalder automatisk uden kompensation.</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rStyle w:val="SourceText"/>
                <w:rFonts w:ascii="Times New Roman;Times;Serif" w:hAnsi="Times New Roman;Times;Serif"/>
                <w:sz w:val="20"/>
              </w:rPr>
              <w:t>4.9</w:t>
            </w:r>
          </w:p>
        </w:tc>
        <w:tc>
          <w:tcPr>
            <w:tcW w:w="4524" w:type="dxa"/>
            <w:tcBorders/>
            <w:vAlign w:val="center"/>
          </w:tcPr>
          <w:p>
            <w:pPr>
              <w:pStyle w:val="TableContents"/>
              <w:bidi w:val="0"/>
              <w:spacing w:before="0" w:after="283"/>
              <w:jc w:val="both"/>
              <w:rPr/>
            </w:pPr>
            <w:r>
              <w:rPr>
                <w:rStyle w:val="SourceText"/>
                <w:rFonts w:ascii="Times New Roman;Times;Serif" w:hAnsi="Times New Roman;Times;Serif"/>
                <w:sz w:val="20"/>
              </w:rPr>
              <w:t>Any Warrants that are not exercised in connection with a Window shall automatically become void without compensation.</w:t>
            </w:r>
          </w:p>
        </w:tc>
      </w:tr>
      <w:tr>
        <w:trPr/>
        <w:tc>
          <w:tcPr>
            <w:tcW w:w="395" w:type="dxa"/>
            <w:tcBorders/>
            <w:vAlign w:val="center"/>
          </w:tcPr>
          <w:p>
            <w:pPr>
              <w:pStyle w:val="TableContents"/>
              <w:bidi w:val="0"/>
              <w:spacing w:before="0" w:after="283"/>
              <w:jc w:val="left"/>
              <w:rPr/>
            </w:pPr>
            <w:r>
              <w:rPr/>
              <w:t> </w:t>
            </w:r>
          </w:p>
        </w:tc>
        <w:tc>
          <w:tcPr>
            <w:tcW w:w="48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4524"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rStyle w:val="SourceText"/>
                <w:rFonts w:ascii="Times New Roman;Times;Serif" w:hAnsi="Times New Roman;Times;Serif"/>
                <w:sz w:val="20"/>
              </w:rPr>
              <w:t>4.10</w:t>
            </w:r>
          </w:p>
        </w:tc>
        <w:tc>
          <w:tcPr>
            <w:tcW w:w="4846" w:type="dxa"/>
            <w:tcBorders/>
            <w:vAlign w:val="center"/>
          </w:tcPr>
          <w:p>
            <w:pPr>
              <w:pStyle w:val="TableContents"/>
              <w:bidi w:val="0"/>
              <w:spacing w:before="0" w:after="283"/>
              <w:jc w:val="both"/>
              <w:rPr/>
            </w:pPr>
            <w:r>
              <w:rPr>
                <w:rStyle w:val="SourceText"/>
                <w:rFonts w:ascii="Times New Roman;Times;Serif" w:hAnsi="Times New Roman;Times;Serif"/>
                <w:sz w:val="20"/>
              </w:rPr>
              <w:t>Såfremt et Vindue ikke er blevet oprettet senest den 31. december 2036, bortfalder Warrants automatisk uden yderligere varsel og uden kompensation.</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rStyle w:val="SourceText"/>
                <w:rFonts w:ascii="Times New Roman;Times;Serif" w:hAnsi="Times New Roman;Times;Serif"/>
                <w:sz w:val="20"/>
              </w:rPr>
              <w:t>4.10</w:t>
            </w:r>
          </w:p>
        </w:tc>
        <w:tc>
          <w:tcPr>
            <w:tcW w:w="4524" w:type="dxa"/>
            <w:tcBorders/>
            <w:vAlign w:val="center"/>
          </w:tcPr>
          <w:p>
            <w:pPr>
              <w:pStyle w:val="TableContents"/>
              <w:bidi w:val="0"/>
              <w:spacing w:before="0" w:after="283"/>
              <w:jc w:val="both"/>
              <w:rPr/>
            </w:pPr>
            <w:r>
              <w:rPr>
                <w:rStyle w:val="SourceText"/>
                <w:rFonts w:ascii="Times New Roman;Times;Serif" w:hAnsi="Times New Roman;Times;Serif"/>
                <w:sz w:val="20"/>
              </w:rPr>
              <w:t>In the event an Exit or a Window has not occurred on or before December 31, 2036, the Warrants shall automatically and without further notice or compensation lapse and become null and void.</w:t>
            </w:r>
          </w:p>
        </w:tc>
      </w:tr>
      <w:tr>
        <w:trPr/>
        <w:tc>
          <w:tcPr>
            <w:tcW w:w="395" w:type="dxa"/>
            <w:tcBorders/>
            <w:vAlign w:val="center"/>
          </w:tcPr>
          <w:p>
            <w:pPr>
              <w:pStyle w:val="TableContents"/>
              <w:bidi w:val="0"/>
              <w:spacing w:before="0" w:after="283"/>
              <w:jc w:val="left"/>
              <w:rPr/>
            </w:pPr>
            <w:r>
              <w:rPr/>
              <w:t> </w:t>
            </w:r>
          </w:p>
        </w:tc>
        <w:tc>
          <w:tcPr>
            <w:tcW w:w="48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452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4817"/>
        <w:gridCol w:w="60"/>
        <w:gridCol w:w="380"/>
        <w:gridCol w:w="4553"/>
      </w:tblGrid>
      <w:tr>
        <w:trPr/>
        <w:tc>
          <w:tcPr>
            <w:tcW w:w="395" w:type="dxa"/>
            <w:tcBorders/>
            <w:vAlign w:val="center"/>
          </w:tcPr>
          <w:p>
            <w:pPr>
              <w:pStyle w:val="TableContents"/>
              <w:bidi w:val="0"/>
              <w:spacing w:before="0" w:after="283"/>
              <w:jc w:val="left"/>
              <w:rPr/>
            </w:pPr>
            <w:r>
              <w:rPr>
                <w:rStyle w:val="SourceText"/>
                <w:rFonts w:ascii="Times New Roman;Times;Serif" w:hAnsi="Times New Roman;Times;Serif"/>
                <w:sz w:val="20"/>
              </w:rPr>
              <w:t>4.11</w:t>
            </w:r>
          </w:p>
        </w:tc>
        <w:tc>
          <w:tcPr>
            <w:tcW w:w="4817" w:type="dxa"/>
            <w:tcBorders/>
            <w:vAlign w:val="center"/>
          </w:tcPr>
          <w:p>
            <w:pPr>
              <w:pStyle w:val="TableContents"/>
              <w:bidi w:val="0"/>
              <w:spacing w:before="0" w:after="283"/>
              <w:jc w:val="both"/>
              <w:rPr/>
            </w:pPr>
            <w:r>
              <w:rPr>
                <w:rStyle w:val="SourceText"/>
                <w:rFonts w:ascii="Times New Roman;Times;Serif" w:hAnsi="Times New Roman;Times;Serif"/>
                <w:sz w:val="20"/>
              </w:rPr>
              <w:t>I forbindelse med en notering af ADS’er på Nasdaq, USA, har Selskabets bestyrelse i henhold til pkt. 4.1 truffet beslutning om at fastsætte udnyttelsesvinduerne for udstedte warrants således:</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rStyle w:val="SourceText"/>
                <w:rFonts w:ascii="Times New Roman;Times;Serif" w:hAnsi="Times New Roman;Times;Serif"/>
                <w:sz w:val="20"/>
              </w:rPr>
              <w:t>4.11</w:t>
            </w:r>
          </w:p>
        </w:tc>
        <w:tc>
          <w:tcPr>
            <w:tcW w:w="4553" w:type="dxa"/>
            <w:tcBorders/>
            <w:vAlign w:val="center"/>
          </w:tcPr>
          <w:p>
            <w:pPr>
              <w:pStyle w:val="TableContents"/>
              <w:bidi w:val="0"/>
              <w:spacing w:before="0" w:after="283"/>
              <w:jc w:val="both"/>
              <w:rPr/>
            </w:pPr>
            <w:r>
              <w:rPr>
                <w:rStyle w:val="SourceText"/>
                <w:rFonts w:ascii="Times New Roman;Times;Serif" w:hAnsi="Times New Roman;Times;Serif"/>
                <w:sz w:val="20"/>
              </w:rPr>
              <w:t>In connection with a listing of ADSs on Nasdaq, USA, the board of directors has resolved, pursuant to clause 4.1, to determine the exercise windows for issued warrants as follows:</w:t>
            </w:r>
          </w:p>
        </w:tc>
      </w:tr>
      <w:tr>
        <w:trPr/>
        <w:tc>
          <w:tcPr>
            <w:tcW w:w="395" w:type="dxa"/>
            <w:tcBorders/>
            <w:vAlign w:val="center"/>
          </w:tcPr>
          <w:p>
            <w:pPr>
              <w:pStyle w:val="TableContents"/>
              <w:bidi w:val="0"/>
              <w:spacing w:before="0" w:after="283"/>
              <w:jc w:val="left"/>
              <w:rPr/>
            </w:pPr>
            <w:r>
              <w:rPr/>
              <w:t> </w:t>
            </w:r>
          </w:p>
        </w:tc>
        <w:tc>
          <w:tcPr>
            <w:tcW w:w="48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4553"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4817" w:type="dxa"/>
            <w:tcBorders/>
            <w:vAlign w:val="center"/>
          </w:tcPr>
          <w:p>
            <w:pPr>
              <w:pStyle w:val="TableContents"/>
              <w:bidi w:val="0"/>
              <w:spacing w:before="0" w:after="283"/>
              <w:jc w:val="both"/>
              <w:rPr/>
            </w:pPr>
            <w:r>
              <w:rPr>
                <w:rStyle w:val="SourceText"/>
                <w:rFonts w:ascii="Times New Roman;Times;Serif" w:hAnsi="Times New Roman;Times;Serif"/>
                <w:sz w:val="20"/>
              </w:rPr>
              <w:t>Optjente warrants kan udnyttes i fire årlige udnyttelsesvinduer på 2 uger, som hver ligger to handelsdage efter offentliggørelsen af henholdsvis Selskabets årsrapport, halvårsregnskabet samt kvartalsmeddelelserne. Første udnyttelsesperiode indtræder dog tidligst 180 dage efter Selskabets notering af ADS’er på Nasdaq, USA, og i de første fire udnyttelsesperioder kan warrantindehaveren maksimalt udnytte 25% af de til warrantindehaveren tildelte warrants forudsat altid at warrants er optjent.</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4553" w:type="dxa"/>
            <w:tcBorders/>
            <w:vAlign w:val="center"/>
          </w:tcPr>
          <w:p>
            <w:pPr>
              <w:pStyle w:val="TableContents"/>
              <w:bidi w:val="0"/>
              <w:spacing w:before="0" w:after="283"/>
              <w:jc w:val="both"/>
              <w:rPr/>
            </w:pPr>
            <w:r>
              <w:rPr>
                <w:rStyle w:val="SourceText"/>
                <w:rFonts w:ascii="Times New Roman;Times;Serif" w:hAnsi="Times New Roman;Times;Serif"/>
                <w:sz w:val="20"/>
              </w:rPr>
              <w:t>Vested warrants may be exercise in four annual exercise windows of two weeks each that each commence two trading days following publication of the Company’s annual report, the 6-month report and the interim reports. The first exercise window shall, however, be at least 180 days following the listing by the Company of ADSs on Nasdaq, USA and in the first four exercise periods the warrantholder may as a maximum exercise 25% of the warrants granted to the respective warrantholders, provided always that the warrants have vested.</w:t>
            </w:r>
          </w:p>
        </w:tc>
      </w:tr>
      <w:tr>
        <w:trPr/>
        <w:tc>
          <w:tcPr>
            <w:tcW w:w="395" w:type="dxa"/>
            <w:tcBorders/>
            <w:vAlign w:val="center"/>
          </w:tcPr>
          <w:p>
            <w:pPr>
              <w:pStyle w:val="TableContents"/>
              <w:bidi w:val="0"/>
              <w:spacing w:before="0" w:after="283"/>
              <w:jc w:val="left"/>
              <w:rPr/>
            </w:pPr>
            <w:r>
              <w:rPr/>
              <w:t> </w:t>
            </w:r>
          </w:p>
        </w:tc>
        <w:tc>
          <w:tcPr>
            <w:tcW w:w="48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4553"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rStyle w:val="SourceText"/>
                <w:rFonts w:ascii="Times New Roman;Times;Serif" w:hAnsi="Times New Roman;Times;Serif"/>
                <w:b/>
                <w:sz w:val="20"/>
              </w:rPr>
              <w:t xml:space="preserve">5 </w:t>
            </w:r>
          </w:p>
        </w:tc>
        <w:tc>
          <w:tcPr>
            <w:tcW w:w="4817" w:type="dxa"/>
            <w:tcBorders/>
            <w:vAlign w:val="center"/>
          </w:tcPr>
          <w:p>
            <w:pPr>
              <w:pStyle w:val="TableContents"/>
              <w:bidi w:val="0"/>
              <w:spacing w:before="0" w:after="283"/>
              <w:jc w:val="left"/>
              <w:rPr/>
            </w:pPr>
            <w:r>
              <w:rPr>
                <w:rStyle w:val="SourceText"/>
                <w:rFonts w:ascii="Times New Roman;Times;Serif" w:hAnsi="Times New Roman;Times;Serif"/>
                <w:b/>
                <w:sz w:val="20"/>
              </w:rPr>
              <w:t>VISSE BETINGELSER I RELATION TIL EXIT</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rStyle w:val="SourceText"/>
                <w:rFonts w:ascii="Times New Roman;Times;Serif" w:hAnsi="Times New Roman;Times;Serif"/>
                <w:b/>
                <w:sz w:val="20"/>
              </w:rPr>
              <w:t xml:space="preserve">5. </w:t>
            </w:r>
          </w:p>
        </w:tc>
        <w:tc>
          <w:tcPr>
            <w:tcW w:w="4553" w:type="dxa"/>
            <w:tcBorders/>
            <w:vAlign w:val="center"/>
          </w:tcPr>
          <w:p>
            <w:pPr>
              <w:pStyle w:val="TableContents"/>
              <w:bidi w:val="0"/>
              <w:spacing w:before="0" w:after="283"/>
              <w:jc w:val="left"/>
              <w:rPr/>
            </w:pPr>
            <w:r>
              <w:rPr>
                <w:rStyle w:val="SourceText"/>
                <w:rFonts w:ascii="Times New Roman;Times;Serif" w:hAnsi="Times New Roman;Times;Serif"/>
                <w:b/>
                <w:sz w:val="20"/>
              </w:rPr>
              <w:t>CERTAIN CONDITIONS RELATING TO AN EXIT</w:t>
            </w:r>
          </w:p>
        </w:tc>
      </w:tr>
      <w:tr>
        <w:trPr/>
        <w:tc>
          <w:tcPr>
            <w:tcW w:w="395" w:type="dxa"/>
            <w:tcBorders/>
            <w:vAlign w:val="center"/>
          </w:tcPr>
          <w:p>
            <w:pPr>
              <w:pStyle w:val="TableContents"/>
              <w:bidi w:val="0"/>
              <w:spacing w:before="0" w:after="283"/>
              <w:jc w:val="left"/>
              <w:rPr/>
            </w:pPr>
            <w:r>
              <w:rPr/>
              <w:t> </w:t>
            </w:r>
          </w:p>
        </w:tc>
        <w:tc>
          <w:tcPr>
            <w:tcW w:w="48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4553"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rStyle w:val="SourceText"/>
                <w:rFonts w:ascii="Times New Roman;Times;Serif" w:hAnsi="Times New Roman;Times;Serif"/>
                <w:sz w:val="20"/>
              </w:rPr>
              <w:t>5.1</w:t>
            </w:r>
          </w:p>
        </w:tc>
        <w:tc>
          <w:tcPr>
            <w:tcW w:w="4817" w:type="dxa"/>
            <w:tcBorders/>
            <w:vAlign w:val="center"/>
          </w:tcPr>
          <w:p>
            <w:pPr>
              <w:pStyle w:val="TableContents"/>
              <w:bidi w:val="0"/>
              <w:spacing w:before="0" w:after="283"/>
              <w:jc w:val="both"/>
              <w:rPr/>
            </w:pPr>
            <w:r>
              <w:rPr>
                <w:rStyle w:val="SourceText"/>
                <w:rFonts w:ascii="Times New Roman;Times;Serif" w:hAnsi="Times New Roman;Times;Serif"/>
                <w:sz w:val="20"/>
              </w:rPr>
              <w:t>Efter udnyttelse af Warrants i forbindelse med en børsnotering skal Warrantindehaveren underskrive og tiltræde de aftaler eller forpligtelser, herunder i relation til en lock-up periode eller andre lock-up forpligtelser, som den udstedende bank måtte anmode om i forbindelse med en børsnotering.</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rStyle w:val="SourceText"/>
                <w:rFonts w:ascii="Times New Roman;Times;Serif" w:hAnsi="Times New Roman;Times;Serif"/>
                <w:sz w:val="20"/>
              </w:rPr>
              <w:t xml:space="preserve">5.1 </w:t>
            </w:r>
          </w:p>
        </w:tc>
        <w:tc>
          <w:tcPr>
            <w:tcW w:w="4553" w:type="dxa"/>
            <w:tcBorders/>
            <w:vAlign w:val="center"/>
          </w:tcPr>
          <w:p>
            <w:pPr>
              <w:pStyle w:val="TableContents"/>
              <w:bidi w:val="0"/>
              <w:spacing w:before="0" w:after="283"/>
              <w:jc w:val="both"/>
              <w:rPr/>
            </w:pPr>
            <w:r>
              <w:rPr>
                <w:rStyle w:val="SourceText"/>
                <w:rFonts w:ascii="Times New Roman;Times;Serif" w:hAnsi="Times New Roman;Times;Serif"/>
                <w:sz w:val="20"/>
              </w:rPr>
              <w:t>Following exercise of Warrants in connection with an IPO, the Warrantee shall sign and accept such agreements or undertakings, including in respect of a period of lock-up and other lock-up obligations, which may be proposed by the issuing bank in connection with an IPO.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5114"/>
        <w:gridCol w:w="60"/>
        <w:gridCol w:w="275"/>
        <w:gridCol w:w="4466"/>
      </w:tblGrid>
      <w:tr>
        <w:trPr/>
        <w:tc>
          <w:tcPr>
            <w:tcW w:w="290" w:type="dxa"/>
            <w:tcBorders/>
            <w:vAlign w:val="center"/>
          </w:tcPr>
          <w:p>
            <w:pPr>
              <w:pStyle w:val="TableContents"/>
              <w:bidi w:val="0"/>
              <w:spacing w:before="0" w:after="283"/>
              <w:jc w:val="left"/>
              <w:rPr/>
            </w:pPr>
            <w:r>
              <w:rPr>
                <w:rStyle w:val="SourceText"/>
                <w:rFonts w:ascii="Times New Roman;Times;Serif" w:hAnsi="Times New Roman;Times;Serif"/>
                <w:sz w:val="20"/>
              </w:rPr>
              <w:t>5.2</w:t>
            </w:r>
          </w:p>
        </w:tc>
        <w:tc>
          <w:tcPr>
            <w:tcW w:w="5114" w:type="dxa"/>
            <w:tcBorders/>
            <w:vAlign w:val="center"/>
          </w:tcPr>
          <w:p>
            <w:pPr>
              <w:pStyle w:val="TableContents"/>
              <w:bidi w:val="0"/>
              <w:spacing w:before="0" w:after="283"/>
              <w:jc w:val="both"/>
              <w:rPr/>
            </w:pPr>
            <w:r>
              <w:rPr>
                <w:rStyle w:val="SourceText"/>
                <w:rFonts w:ascii="Times New Roman;Times;Serif" w:hAnsi="Times New Roman;Times;Serif"/>
                <w:sz w:val="20"/>
              </w:rPr>
              <w:t>Selskabet kan kræve, og Warrantindehaveren skal i så fald acceptere, at samtlige eller en del af Warrants ombyttes ligeligt til kapitalandele, warrants, konvertible værdipapirer eller et andet kapitalandelsbaseret instrument udstedt af en køber eller af en efterfølger af Selskabet eller af et af disses moderselskaber eller datterselskaber, eller til kapitalandele, warrants, konvertible værdipapirer eller andet kapitalandelsbaseret instrument udstedt af Selskabet efter omstrukturering, således at den pågældende Warrantindehavers Warrants umiddelbart efter en sådan ombytning - sammen med betaling af en eventuel kontant godtgørelse til Warrantindehaveren - i alt væsentlig har samme værdi som de pågældende Warrants, herunder de Warrants ejet af Warrantindehaveren umiddelbart før en sådan ombytning. Uanset ovenstående er Warrantindehaveren berettiget til en delvis kontant udbetaling i det omfang, dette er nødvendigt, for at Warrantindehaveren er i stand til at betale eventuel indkomst- eller kapitalgevinstskat, der umiddelbart forfalder som følge af en sådan ombytning af værdipapirer.</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rStyle w:val="SourceText"/>
                <w:rFonts w:ascii="Times New Roman;Times;Serif" w:hAnsi="Times New Roman;Times;Serif"/>
                <w:sz w:val="20"/>
              </w:rPr>
              <w:t>5.2</w:t>
            </w:r>
          </w:p>
        </w:tc>
        <w:tc>
          <w:tcPr>
            <w:tcW w:w="4466" w:type="dxa"/>
            <w:tcBorders/>
            <w:vAlign w:val="center"/>
          </w:tcPr>
          <w:p>
            <w:pPr>
              <w:pStyle w:val="TableContents"/>
              <w:bidi w:val="0"/>
              <w:spacing w:before="0" w:after="283"/>
              <w:jc w:val="both"/>
              <w:rPr/>
            </w:pPr>
            <w:r>
              <w:rPr>
                <w:rStyle w:val="SourceText"/>
                <w:rFonts w:ascii="Times New Roman;Times;Serif" w:hAnsi="Times New Roman;Times;Serif"/>
                <w:sz w:val="20"/>
              </w:rPr>
              <w:t>The Company may request, and the Warrantee shall then accept, that all or a portion of the Warrants shall be equitably exchanged for shares, warrants, convertibles or any other equity based instrument, issued by any purchaser of or successor to the Company, or by a parent or subsidiary of either of them, or shares, warrants, convertibles or any other equity based instrument issued by the Company as restructured, such that such Warrantee's Warrants immediately following such exchange, when aggregated with any cash consideration paid to such Warrantee, shall have substantially the same value as the Warrants, including any Warrants held by such Warrantee immediately prior to such exchange. Notwithstanding any of the foregoing, the Warrantee shall be entitled to partial consideration in cash to the extent necessary in order for the Warrantee to be able to pay any personal income or capital gains tax immediately falling due as a result of such exchange of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4919"/>
        <w:gridCol w:w="60"/>
        <w:gridCol w:w="425"/>
        <w:gridCol w:w="4361"/>
      </w:tblGrid>
      <w:tr>
        <w:trPr/>
        <w:tc>
          <w:tcPr>
            <w:tcW w:w="440" w:type="dxa"/>
            <w:tcBorders/>
            <w:vAlign w:val="center"/>
          </w:tcPr>
          <w:p>
            <w:pPr>
              <w:pStyle w:val="TableContents"/>
              <w:bidi w:val="0"/>
              <w:spacing w:before="0" w:after="283"/>
              <w:jc w:val="left"/>
              <w:rPr/>
            </w:pPr>
            <w:r>
              <w:rPr>
                <w:rStyle w:val="SourceText"/>
                <w:rFonts w:ascii="Times New Roman;Times;Serif" w:hAnsi="Times New Roman;Times;Serif"/>
                <w:sz w:val="20"/>
              </w:rPr>
              <w:t>5.3</w:t>
            </w:r>
          </w:p>
        </w:tc>
        <w:tc>
          <w:tcPr>
            <w:tcW w:w="4919" w:type="dxa"/>
            <w:tcBorders/>
            <w:vAlign w:val="center"/>
          </w:tcPr>
          <w:p>
            <w:pPr>
              <w:pStyle w:val="TableContents"/>
              <w:bidi w:val="0"/>
              <w:spacing w:before="0" w:after="283"/>
              <w:jc w:val="both"/>
              <w:rPr/>
            </w:pPr>
            <w:r>
              <w:rPr>
                <w:rStyle w:val="SourceText"/>
                <w:rFonts w:ascii="Times New Roman;Times;Serif" w:hAnsi="Times New Roman;Times;Serif"/>
                <w:sz w:val="20"/>
              </w:rPr>
              <w:t>Forud for en Exit er Selskabet (eller en tredjemand, der er udpeget af Selskabet) berettiget til at købe Warrants fra Warrantindehaveren til en pris, der fastsættes i overensstemmelse med punkt 5.5 nedenfor.</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rStyle w:val="SourceText"/>
                <w:rFonts w:ascii="Times New Roman;Times;Serif" w:hAnsi="Times New Roman;Times;Serif"/>
                <w:sz w:val="20"/>
              </w:rPr>
              <w:t>5.3</w:t>
            </w:r>
          </w:p>
        </w:tc>
        <w:tc>
          <w:tcPr>
            <w:tcW w:w="4361" w:type="dxa"/>
            <w:tcBorders/>
            <w:vAlign w:val="center"/>
          </w:tcPr>
          <w:p>
            <w:pPr>
              <w:pStyle w:val="TableContents"/>
              <w:bidi w:val="0"/>
              <w:spacing w:before="0" w:after="283"/>
              <w:jc w:val="both"/>
              <w:rPr/>
            </w:pPr>
            <w:r>
              <w:rPr>
                <w:rStyle w:val="SourceText"/>
                <w:rFonts w:ascii="Times New Roman;Times;Serif" w:hAnsi="Times New Roman;Times;Serif"/>
                <w:sz w:val="20"/>
              </w:rPr>
              <w:t>Prior to an Exit, the Company (or a third party appointed by the Company) shall have a right to purchase the Warrants from the Warrantee for a price determined in accordance with Clause 5.5 below.</w:t>
            </w:r>
          </w:p>
        </w:tc>
      </w:tr>
      <w:tr>
        <w:trPr/>
        <w:tc>
          <w:tcPr>
            <w:tcW w:w="440" w:type="dxa"/>
            <w:tcBorders/>
            <w:vAlign w:val="center"/>
          </w:tcPr>
          <w:p>
            <w:pPr>
              <w:pStyle w:val="TableContents"/>
              <w:bidi w:val="0"/>
              <w:spacing w:before="0" w:after="283"/>
              <w:jc w:val="left"/>
              <w:rPr/>
            </w:pPr>
            <w:r>
              <w:rPr/>
              <w:t> </w:t>
            </w:r>
          </w:p>
        </w:tc>
        <w:tc>
          <w:tcPr>
            <w:tcW w:w="491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361"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pPr>
            <w:r>
              <w:rPr>
                <w:rStyle w:val="SourceText"/>
                <w:rFonts w:ascii="Times New Roman;Times;Serif" w:hAnsi="Times New Roman;Times;Serif"/>
                <w:sz w:val="20"/>
              </w:rPr>
              <w:t>5.4</w:t>
            </w:r>
          </w:p>
        </w:tc>
        <w:tc>
          <w:tcPr>
            <w:tcW w:w="4919" w:type="dxa"/>
            <w:tcBorders/>
            <w:vAlign w:val="center"/>
          </w:tcPr>
          <w:p>
            <w:pPr>
              <w:pStyle w:val="TableContents"/>
              <w:bidi w:val="0"/>
              <w:spacing w:before="0" w:after="283"/>
              <w:jc w:val="both"/>
              <w:rPr/>
            </w:pPr>
            <w:r>
              <w:rPr>
                <w:rStyle w:val="SourceText"/>
                <w:rFonts w:ascii="Times New Roman;Times;Serif" w:hAnsi="Times New Roman;Times;Serif"/>
                <w:sz w:val="20"/>
              </w:rPr>
              <w:t>Hvis Selskabet ønsker at udnytte en af sine rettigheder i henhold til denne Aftale, skal der gives skriftlig meddelelse herom per e-mail til Warrantindehaveren. En meddelelse betragtes som værende kommet Warrantindehaveren i hænde, og Selskabets rettighed derved udøvet, på tidspunktet for e-mailens afsendelse, forudsat at meddelelsen er stilet til den e-mailadresse, som Warrantindehaveren til enhver tid har oplyst Selskabet om. Udnyttelse af en rettighed i henhold til punkt 5.3 ovenfor er altid betinget af, at Exit faktisk er blevet gennemført.</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rStyle w:val="SourceText"/>
                <w:rFonts w:ascii="Times New Roman;Times;Serif" w:hAnsi="Times New Roman;Times;Serif"/>
                <w:sz w:val="20"/>
              </w:rPr>
              <w:t>5.4</w:t>
            </w:r>
          </w:p>
        </w:tc>
        <w:tc>
          <w:tcPr>
            <w:tcW w:w="4361" w:type="dxa"/>
            <w:tcBorders/>
            <w:vAlign w:val="center"/>
          </w:tcPr>
          <w:p>
            <w:pPr>
              <w:pStyle w:val="TableContents"/>
              <w:bidi w:val="0"/>
              <w:spacing w:before="0" w:after="283"/>
              <w:jc w:val="both"/>
              <w:rPr/>
            </w:pPr>
            <w:r>
              <w:rPr>
                <w:rStyle w:val="SourceText"/>
                <w:rFonts w:ascii="Times New Roman;Times;Serif" w:hAnsi="Times New Roman;Times;Serif"/>
                <w:sz w:val="20"/>
              </w:rPr>
              <w:t>If the Company wishes to exercise any of its rights under this Agreement, a written notice to that effect shall be sent by email to the Warrantee. A notice shall be deemed to have reached a Warrantee, and hence the right of the Company shall be deemed to have been exercised, at the time of the dispatch of the email, provided the notice has been addressed to the email address of the Warrantee which the Warrantee has informed the Company at any time. The exercise of rights pursuant to Clause 5.3 above is always subject to the condition that the Exit is actually completed.</w:t>
            </w:r>
          </w:p>
        </w:tc>
      </w:tr>
      <w:tr>
        <w:trPr/>
        <w:tc>
          <w:tcPr>
            <w:tcW w:w="440" w:type="dxa"/>
            <w:tcBorders/>
            <w:vAlign w:val="center"/>
          </w:tcPr>
          <w:p>
            <w:pPr>
              <w:pStyle w:val="TableContents"/>
              <w:bidi w:val="0"/>
              <w:spacing w:before="0" w:after="283"/>
              <w:jc w:val="left"/>
              <w:rPr/>
            </w:pPr>
            <w:r>
              <w:rPr/>
              <w:t> </w:t>
            </w:r>
          </w:p>
        </w:tc>
        <w:tc>
          <w:tcPr>
            <w:tcW w:w="491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361"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pPr>
            <w:r>
              <w:rPr>
                <w:rStyle w:val="SourceText"/>
                <w:rFonts w:ascii="Times New Roman;Times;Serif" w:hAnsi="Times New Roman;Times;Serif"/>
                <w:sz w:val="20"/>
              </w:rPr>
              <w:t>5.5</w:t>
            </w:r>
          </w:p>
        </w:tc>
        <w:tc>
          <w:tcPr>
            <w:tcW w:w="4919" w:type="dxa"/>
            <w:tcBorders/>
            <w:vAlign w:val="center"/>
          </w:tcPr>
          <w:p>
            <w:pPr>
              <w:pStyle w:val="TableContents"/>
              <w:bidi w:val="0"/>
              <w:spacing w:before="0" w:after="283"/>
              <w:jc w:val="both"/>
              <w:rPr/>
            </w:pPr>
            <w:r>
              <w:rPr>
                <w:rStyle w:val="SourceText"/>
                <w:rFonts w:ascii="Times New Roman;Times;Serif" w:hAnsi="Times New Roman;Times;Serif"/>
                <w:i/>
                <w:sz w:val="20"/>
              </w:rPr>
              <w:t>Købspris i forbindelse med Exit</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rStyle w:val="SourceText"/>
                <w:rFonts w:ascii="Times New Roman;Times;Serif" w:hAnsi="Times New Roman;Times;Serif"/>
                <w:sz w:val="20"/>
              </w:rPr>
              <w:t>5.5</w:t>
            </w:r>
          </w:p>
        </w:tc>
        <w:tc>
          <w:tcPr>
            <w:tcW w:w="4361" w:type="dxa"/>
            <w:tcBorders/>
            <w:vAlign w:val="center"/>
          </w:tcPr>
          <w:p>
            <w:pPr>
              <w:pStyle w:val="TableContents"/>
              <w:bidi w:val="0"/>
              <w:spacing w:before="0" w:after="283"/>
              <w:jc w:val="both"/>
              <w:rPr/>
            </w:pPr>
            <w:r>
              <w:rPr>
                <w:rStyle w:val="SourceText"/>
                <w:rFonts w:ascii="Times New Roman;Times;Serif" w:hAnsi="Times New Roman;Times;Serif"/>
                <w:i/>
                <w:sz w:val="20"/>
              </w:rPr>
              <w:t>Purchase Price in connection with an Exit</w:t>
            </w:r>
          </w:p>
        </w:tc>
      </w:tr>
      <w:tr>
        <w:trPr/>
        <w:tc>
          <w:tcPr>
            <w:tcW w:w="440" w:type="dxa"/>
            <w:tcBorders/>
            <w:vAlign w:val="center"/>
          </w:tcPr>
          <w:p>
            <w:pPr>
              <w:pStyle w:val="TableContents"/>
              <w:bidi w:val="0"/>
              <w:spacing w:before="0" w:after="283"/>
              <w:jc w:val="left"/>
              <w:rPr/>
            </w:pPr>
            <w:r>
              <w:rPr/>
              <w:t> </w:t>
            </w:r>
          </w:p>
        </w:tc>
        <w:tc>
          <w:tcPr>
            <w:tcW w:w="491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361"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pPr>
            <w:r>
              <w:rPr>
                <w:rStyle w:val="SourceText"/>
                <w:rFonts w:ascii="Times New Roman;Times;Serif" w:hAnsi="Times New Roman;Times;Serif"/>
                <w:sz w:val="20"/>
              </w:rPr>
              <w:t>5.5.1</w:t>
            </w:r>
          </w:p>
        </w:tc>
        <w:tc>
          <w:tcPr>
            <w:tcW w:w="4919" w:type="dxa"/>
            <w:tcBorders/>
            <w:vAlign w:val="center"/>
          </w:tcPr>
          <w:p>
            <w:pPr>
              <w:pStyle w:val="TableContents"/>
              <w:bidi w:val="0"/>
              <w:spacing w:before="0" w:after="283"/>
              <w:jc w:val="both"/>
              <w:rPr/>
            </w:pPr>
            <w:r>
              <w:rPr>
                <w:rStyle w:val="SourceText"/>
                <w:rFonts w:ascii="Times New Roman;Times;Serif" w:hAnsi="Times New Roman;Times;Serif"/>
                <w:sz w:val="20"/>
              </w:rPr>
              <w:t>Ved køb af Warrantindehaverens Warrants i henhold til punkt 5.3 skal værdien af Warrants være baseret på den rimelige markedsværdi, som anført nedenfor.</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rStyle w:val="SourceText"/>
                <w:rFonts w:ascii="Times New Roman;Times;Serif" w:hAnsi="Times New Roman;Times;Serif"/>
                <w:sz w:val="20"/>
              </w:rPr>
              <w:t>5.5.1</w:t>
            </w:r>
          </w:p>
        </w:tc>
        <w:tc>
          <w:tcPr>
            <w:tcW w:w="4361" w:type="dxa"/>
            <w:tcBorders/>
            <w:vAlign w:val="center"/>
          </w:tcPr>
          <w:p>
            <w:pPr>
              <w:pStyle w:val="TableContents"/>
              <w:bidi w:val="0"/>
              <w:spacing w:before="0" w:after="283"/>
              <w:jc w:val="both"/>
              <w:rPr/>
            </w:pPr>
            <w:r>
              <w:rPr>
                <w:rStyle w:val="SourceText"/>
                <w:rFonts w:ascii="Times New Roman;Times;Serif" w:hAnsi="Times New Roman;Times;Serif"/>
                <w:sz w:val="20"/>
              </w:rPr>
              <w:t>When the Warrantee's Warrants are purchased in accordance with Clause 5.3, the Warrants shall be based on the fair market value as set out below.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4894"/>
        <w:gridCol w:w="60"/>
        <w:gridCol w:w="425"/>
        <w:gridCol w:w="4386"/>
      </w:tblGrid>
      <w:tr>
        <w:trPr/>
        <w:tc>
          <w:tcPr>
            <w:tcW w:w="440" w:type="dxa"/>
            <w:tcBorders/>
            <w:vAlign w:val="center"/>
          </w:tcPr>
          <w:p>
            <w:pPr>
              <w:pStyle w:val="TableContents"/>
              <w:bidi w:val="0"/>
              <w:spacing w:before="0" w:after="283"/>
              <w:jc w:val="left"/>
              <w:rPr/>
            </w:pPr>
            <w:r>
              <w:rPr>
                <w:rStyle w:val="SourceText"/>
                <w:rFonts w:ascii="Times New Roman;Times;Serif" w:hAnsi="Times New Roman;Times;Serif"/>
                <w:sz w:val="20"/>
              </w:rPr>
              <w:t>5.5.2</w:t>
            </w:r>
          </w:p>
        </w:tc>
        <w:tc>
          <w:tcPr>
            <w:tcW w:w="4894" w:type="dxa"/>
            <w:tcBorders/>
            <w:vAlign w:val="center"/>
          </w:tcPr>
          <w:p>
            <w:pPr>
              <w:pStyle w:val="TableContents"/>
              <w:bidi w:val="0"/>
              <w:spacing w:before="0" w:after="283"/>
              <w:jc w:val="both"/>
              <w:rPr/>
            </w:pPr>
            <w:r>
              <w:rPr>
                <w:rStyle w:val="SourceText"/>
                <w:rFonts w:ascii="Times New Roman;Times;Serif" w:hAnsi="Times New Roman;Times;Serif"/>
                <w:sz w:val="20"/>
              </w:rPr>
              <w:t>Den rimelige markedsværdi af Warrants beregnes af Selskabet på grundlag af den nettopris per kapitalandel i Selskabet, som sælgende kapitalejere vil modtage ved en Exit med fradrag af et forholdsmæssigt beløb for vederlag til rådgivere m.v. Ved beregningen af den rimelige markedsværdi af Warrants skal Selskabet fratrække et beløb, som Selskabet anser som passende i betragtning af de sælgende kapitalejeres eventuelle forpligtelser i henhold til Exit.</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rStyle w:val="SourceText"/>
                <w:rFonts w:ascii="Times New Roman;Times;Serif" w:hAnsi="Times New Roman;Times;Serif"/>
                <w:sz w:val="20"/>
              </w:rPr>
              <w:t>5.5.2</w:t>
            </w:r>
          </w:p>
        </w:tc>
        <w:tc>
          <w:tcPr>
            <w:tcW w:w="4386" w:type="dxa"/>
            <w:tcBorders/>
            <w:vAlign w:val="center"/>
          </w:tcPr>
          <w:p>
            <w:pPr>
              <w:pStyle w:val="TableContents"/>
              <w:bidi w:val="0"/>
              <w:spacing w:before="0" w:after="283"/>
              <w:jc w:val="both"/>
              <w:rPr/>
            </w:pPr>
            <w:r>
              <w:rPr>
                <w:rStyle w:val="SourceText"/>
                <w:rFonts w:ascii="Times New Roman;Times;Serif" w:hAnsi="Times New Roman;Times;Serif"/>
                <w:sz w:val="20"/>
              </w:rPr>
              <w:t>The fair market value of the Warrants shall be calculated by the Company based on the net price per share of the Company to be received by the selling shareholders in an Exit deducted the proportionate amount of any fees to advisors etc. When calculating the fair market value of the Warrants, the Company shall deduct from the fair market value an amount which the Company deems appropriate when considering the selling shareholders' potential liabilities pursuant to the Exit.</w:t>
            </w:r>
          </w:p>
        </w:tc>
      </w:tr>
      <w:tr>
        <w:trPr/>
        <w:tc>
          <w:tcPr>
            <w:tcW w:w="440" w:type="dxa"/>
            <w:tcBorders/>
            <w:vAlign w:val="center"/>
          </w:tcPr>
          <w:p>
            <w:pPr>
              <w:pStyle w:val="TableContents"/>
              <w:bidi w:val="0"/>
              <w:spacing w:before="0" w:after="283"/>
              <w:jc w:val="left"/>
              <w:rPr/>
            </w:pPr>
            <w:r>
              <w:rPr>
                <w:rStyle w:val="SourceText"/>
                <w:rFonts w:ascii="Times New Roman;Times;Serif" w:hAnsi="Times New Roman;Times;Serif"/>
                <w:sz w:val="20"/>
              </w:rPr>
              <w:t>5.5.3</w:t>
            </w:r>
          </w:p>
        </w:tc>
        <w:tc>
          <w:tcPr>
            <w:tcW w:w="4894" w:type="dxa"/>
            <w:tcBorders/>
            <w:vAlign w:val="center"/>
          </w:tcPr>
          <w:p>
            <w:pPr>
              <w:pStyle w:val="TableContents"/>
              <w:bidi w:val="0"/>
              <w:spacing w:before="0" w:after="283"/>
              <w:jc w:val="both"/>
              <w:rPr/>
            </w:pPr>
            <w:r>
              <w:rPr>
                <w:rStyle w:val="SourceText"/>
                <w:rFonts w:ascii="Times New Roman;Times;Serif" w:hAnsi="Times New Roman;Times;Serif"/>
                <w:sz w:val="20"/>
              </w:rPr>
              <w:t>Når Warrants købes i forbindelse med en Exit som følge af salg eller overdragelse af samtlige eller en væsentlig del af Selskabets aktiver, er værdien af Warrants den rimelige markedsværdi på tidspunktet efter salget. I tilfælde af en sådan Exit skal der ved beregningen af den rimelige markedsværdi for Warrants tages højde for den købspris, Selskabet har modtaget for de solgte aktiver, med fradrag af gæld, der ikke er overdraget sammen med aktiverne, samt en forholdsmæssig andel af omkostninger, honorarer m.v. i forbindelse med transaktionen.</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rStyle w:val="SourceText"/>
                <w:rFonts w:ascii="Times New Roman;Times;Serif" w:hAnsi="Times New Roman;Times;Serif"/>
                <w:sz w:val="20"/>
              </w:rPr>
              <w:t>5.5.3</w:t>
            </w:r>
          </w:p>
        </w:tc>
        <w:tc>
          <w:tcPr>
            <w:tcW w:w="4386" w:type="dxa"/>
            <w:tcBorders/>
            <w:vAlign w:val="center"/>
          </w:tcPr>
          <w:p>
            <w:pPr>
              <w:pStyle w:val="TableContents"/>
              <w:bidi w:val="0"/>
              <w:spacing w:before="0" w:after="283"/>
              <w:jc w:val="both"/>
              <w:rPr/>
            </w:pPr>
            <w:r>
              <w:rPr>
                <w:rStyle w:val="SourceText"/>
                <w:rFonts w:ascii="Times New Roman;Times;Serif" w:hAnsi="Times New Roman;Times;Serif"/>
                <w:sz w:val="20"/>
              </w:rPr>
              <w:t>When the Warrants are purchased in connection with an Exit based on the sale or disposition of all or a material part of the Company's assets, the value of the Warrants shall be the fair market value at the time after such sale. In case of such Exit, the fair market value of the Warrants shall take into account the purchase price received by the Company for the assets sold, net of any debts not transferred together with the assets as well as a proportionate part of any cost, fees etc. related to the transaction.</w:t>
            </w:r>
          </w:p>
        </w:tc>
      </w:tr>
      <w:tr>
        <w:trPr/>
        <w:tc>
          <w:tcPr>
            <w:tcW w:w="440" w:type="dxa"/>
            <w:tcBorders/>
            <w:vAlign w:val="center"/>
          </w:tcPr>
          <w:p>
            <w:pPr>
              <w:pStyle w:val="TableContents"/>
              <w:bidi w:val="0"/>
              <w:spacing w:before="0" w:after="283"/>
              <w:jc w:val="left"/>
              <w:rPr/>
            </w:pPr>
            <w:r>
              <w:rPr>
                <w:rStyle w:val="SourceText"/>
                <w:rFonts w:ascii="Times New Roman;Times;Serif" w:hAnsi="Times New Roman;Times;Serif"/>
                <w:sz w:val="20"/>
              </w:rPr>
              <w:t>5.5.4</w:t>
            </w:r>
          </w:p>
        </w:tc>
        <w:tc>
          <w:tcPr>
            <w:tcW w:w="4894" w:type="dxa"/>
            <w:tcBorders/>
            <w:vAlign w:val="center"/>
          </w:tcPr>
          <w:p>
            <w:pPr>
              <w:pStyle w:val="TableContents"/>
              <w:bidi w:val="0"/>
              <w:spacing w:before="0" w:after="283"/>
              <w:jc w:val="both"/>
              <w:rPr/>
            </w:pPr>
            <w:r>
              <w:rPr>
                <w:rStyle w:val="SourceText"/>
                <w:rFonts w:ascii="Times New Roman;Times;Serif" w:hAnsi="Times New Roman;Times;Serif"/>
                <w:sz w:val="20"/>
              </w:rPr>
              <w:t>Købsprisen for Warrants fastlagt i henhold til punkt 5.5.2 - 5.5.3 ovenfor skal betales 15 dage efter, at de sælgende kapitalejere i Selskabet har modtaget betaling for deres kapitalandele, og i tilfælde af køb i forbindelse med et salg af aktiver, når Selskabet har modtaget betaling for de solgte aktiver.</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rStyle w:val="SourceText"/>
                <w:rFonts w:ascii="Times New Roman;Times;Serif" w:hAnsi="Times New Roman;Times;Serif"/>
                <w:sz w:val="20"/>
              </w:rPr>
              <w:t>5.5.4</w:t>
            </w:r>
          </w:p>
        </w:tc>
        <w:tc>
          <w:tcPr>
            <w:tcW w:w="4386" w:type="dxa"/>
            <w:tcBorders/>
            <w:vAlign w:val="center"/>
          </w:tcPr>
          <w:p>
            <w:pPr>
              <w:pStyle w:val="TableContents"/>
              <w:bidi w:val="0"/>
              <w:spacing w:before="0" w:after="283"/>
              <w:jc w:val="both"/>
              <w:rPr/>
            </w:pPr>
            <w:r>
              <w:rPr>
                <w:rStyle w:val="SourceText"/>
                <w:rFonts w:ascii="Times New Roman;Times;Serif" w:hAnsi="Times New Roman;Times;Serif"/>
                <w:sz w:val="20"/>
              </w:rPr>
              <w:t>The purchase price for the Warrants determined in accordance with Clauses 5.5.2 - 5.5.3 above, as applicable, shall be paid 15 days after the selling shareholders of the Company have received payment for their shares, and in case of a purchase in connection with an asset sale, when the Company has received payment for the assets sold.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5251"/>
        <w:gridCol w:w="60"/>
        <w:gridCol w:w="275"/>
        <w:gridCol w:w="4329"/>
      </w:tblGrid>
      <w:tr>
        <w:trPr/>
        <w:tc>
          <w:tcPr>
            <w:tcW w:w="290" w:type="dxa"/>
            <w:tcBorders/>
            <w:vAlign w:val="center"/>
          </w:tcPr>
          <w:p>
            <w:pPr>
              <w:pStyle w:val="TableContents"/>
              <w:bidi w:val="0"/>
              <w:spacing w:before="0" w:after="283"/>
              <w:jc w:val="left"/>
              <w:rPr/>
            </w:pPr>
            <w:r>
              <w:rPr>
                <w:rStyle w:val="SourceText"/>
                <w:rFonts w:ascii="Times New Roman;Times;Serif" w:hAnsi="Times New Roman;Times;Serif"/>
                <w:b/>
                <w:sz w:val="20"/>
              </w:rPr>
              <w:t>6</w:t>
            </w:r>
          </w:p>
        </w:tc>
        <w:tc>
          <w:tcPr>
            <w:tcW w:w="5251" w:type="dxa"/>
            <w:tcBorders/>
            <w:vAlign w:val="center"/>
          </w:tcPr>
          <w:p>
            <w:pPr>
              <w:pStyle w:val="TableContents"/>
              <w:bidi w:val="0"/>
              <w:spacing w:before="0" w:after="283"/>
              <w:jc w:val="both"/>
              <w:rPr/>
            </w:pPr>
            <w:r>
              <w:rPr>
                <w:rStyle w:val="SourceText"/>
                <w:rFonts w:ascii="Times New Roman;Times;Serif" w:hAnsi="Times New Roman;Times;Serif"/>
                <w:b/>
                <w:sz w:val="20"/>
              </w:rPr>
              <w:t>OPSIGELSE AF ANSÆTTELSES-FORHOLDET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rStyle w:val="SourceText"/>
                <w:rFonts w:ascii="Times New Roman;Times;Serif" w:hAnsi="Times New Roman;Times;Serif"/>
                <w:b/>
                <w:sz w:val="20"/>
              </w:rPr>
              <w:t>6.</w:t>
            </w:r>
          </w:p>
        </w:tc>
        <w:tc>
          <w:tcPr>
            <w:tcW w:w="4329" w:type="dxa"/>
            <w:tcBorders/>
            <w:vAlign w:val="center"/>
          </w:tcPr>
          <w:p>
            <w:pPr>
              <w:pStyle w:val="TableContents"/>
              <w:bidi w:val="0"/>
              <w:spacing w:before="0" w:after="283"/>
              <w:jc w:val="both"/>
              <w:rPr/>
            </w:pPr>
            <w:r>
              <w:rPr>
                <w:rStyle w:val="SourceText"/>
                <w:rFonts w:ascii="Times New Roman;Times;Serif" w:hAnsi="Times New Roman;Times;Serif"/>
                <w:b/>
                <w:sz w:val="20"/>
              </w:rPr>
              <w:t>TERMINATION OF EMPLOYMENT</w:t>
            </w:r>
          </w:p>
        </w:tc>
      </w:tr>
      <w:tr>
        <w:trPr/>
        <w:tc>
          <w:tcPr>
            <w:tcW w:w="290"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4329"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left"/>
              <w:rPr/>
            </w:pPr>
            <w:r>
              <w:rPr>
                <w:rStyle w:val="SourceText"/>
                <w:rFonts w:ascii="Times New Roman;Times;Serif" w:hAnsi="Times New Roman;Times;Serif"/>
                <w:sz w:val="20"/>
              </w:rPr>
              <w:t>6.1</w:t>
            </w:r>
          </w:p>
        </w:tc>
        <w:tc>
          <w:tcPr>
            <w:tcW w:w="5251" w:type="dxa"/>
            <w:tcBorders/>
            <w:vAlign w:val="center"/>
          </w:tcPr>
          <w:p>
            <w:pPr>
              <w:pStyle w:val="TableContents"/>
              <w:bidi w:val="0"/>
              <w:spacing w:before="0" w:after="283"/>
              <w:jc w:val="both"/>
              <w:rPr/>
            </w:pPr>
            <w:r>
              <w:rPr>
                <w:rStyle w:val="SourceText"/>
                <w:rFonts w:ascii="Times New Roman;Times;Serif" w:hAnsi="Times New Roman;Times;Serif"/>
                <w:sz w:val="20"/>
              </w:rPr>
              <w:t>Punkterne 6.2 - 6.6 finder anvendelse, hvis Warrantindehaveren er ansat i Selskabet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rStyle w:val="SourceText"/>
                <w:rFonts w:ascii="Times New Roman;Times;Serif" w:hAnsi="Times New Roman;Times;Serif"/>
                <w:sz w:val="20"/>
              </w:rPr>
              <w:t>6.1</w:t>
            </w:r>
          </w:p>
        </w:tc>
        <w:tc>
          <w:tcPr>
            <w:tcW w:w="4329" w:type="dxa"/>
            <w:tcBorders/>
            <w:vAlign w:val="center"/>
          </w:tcPr>
          <w:p>
            <w:pPr>
              <w:pStyle w:val="TableContents"/>
              <w:bidi w:val="0"/>
              <w:spacing w:before="0" w:after="283"/>
              <w:jc w:val="both"/>
              <w:rPr/>
            </w:pPr>
            <w:r>
              <w:rPr>
                <w:rStyle w:val="SourceText"/>
                <w:rFonts w:ascii="Times New Roman;Times;Serif" w:hAnsi="Times New Roman;Times;Serif"/>
                <w:sz w:val="20"/>
              </w:rPr>
              <w:t>Clauses 6.2 - 6.6 shall apply provided the Warrantee is an employee of the Company:</w:t>
            </w:r>
          </w:p>
        </w:tc>
      </w:tr>
      <w:tr>
        <w:trPr/>
        <w:tc>
          <w:tcPr>
            <w:tcW w:w="290"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4329"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left"/>
              <w:rPr/>
            </w:pPr>
            <w:r>
              <w:rPr>
                <w:rStyle w:val="SourceText"/>
                <w:rFonts w:ascii="Times New Roman;Times;Serif" w:hAnsi="Times New Roman;Times;Serif"/>
                <w:sz w:val="20"/>
              </w:rPr>
              <w:t>6.2</w:t>
            </w:r>
          </w:p>
        </w:tc>
        <w:tc>
          <w:tcPr>
            <w:tcW w:w="5251" w:type="dxa"/>
            <w:tcBorders/>
            <w:vAlign w:val="center"/>
          </w:tcPr>
          <w:p>
            <w:pPr>
              <w:pStyle w:val="TableContents"/>
              <w:bidi w:val="0"/>
              <w:spacing w:before="0" w:after="283"/>
              <w:jc w:val="both"/>
              <w:rPr/>
            </w:pPr>
            <w:r>
              <w:rPr>
                <w:rStyle w:val="SourceText"/>
                <w:rFonts w:ascii="Times New Roman;Times;Serif" w:hAnsi="Times New Roman;Times;Serif"/>
                <w:sz w:val="20"/>
              </w:rPr>
              <w:t>Hvis Selskabet opsiger Warrantindehaverens ansættelse i Selskabet med en hvilken som helst begrundelse bortset fra Warrantindehaverens misligholdelse, er Warrantindehaveren berettiget til at udnytte Warrants tildelt i henhold til denne Aftale i overensstemmelse med vilkårene i Aftalen, som om Warrantindehaveren stadig var ansat i Selskabet. Dette gælder ligeledes, hvis ansættelsesforholdet bringes til ophør, fordi Warrantindehaveren har nået den alder, der gælder for pensionering fra Selskabet, eller fordi Warrantindehaveren kan oppebære folkepension eller alderspension fra Selskabet.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rStyle w:val="SourceText"/>
                <w:rFonts w:ascii="Times New Roman;Times;Serif" w:hAnsi="Times New Roman;Times;Serif"/>
                <w:sz w:val="20"/>
              </w:rPr>
              <w:t>6.2</w:t>
            </w:r>
          </w:p>
        </w:tc>
        <w:tc>
          <w:tcPr>
            <w:tcW w:w="4329" w:type="dxa"/>
            <w:tcBorders/>
            <w:vAlign w:val="center"/>
          </w:tcPr>
          <w:p>
            <w:pPr>
              <w:pStyle w:val="TableContents"/>
              <w:bidi w:val="0"/>
              <w:spacing w:before="0" w:after="283"/>
              <w:jc w:val="both"/>
              <w:rPr/>
            </w:pPr>
            <w:r>
              <w:rPr>
                <w:rStyle w:val="SourceText"/>
                <w:rFonts w:ascii="Times New Roman;Times;Serif" w:hAnsi="Times New Roman;Times;Serif"/>
                <w:sz w:val="20"/>
              </w:rPr>
              <w:t>In the event the Company terminates the Warrantee's employment with the Company for any reason other than due to the Warrantee's breach (in Danish "misligholdelse"), the Warrantee shall have the right to exercise any Warrants granted pursuant to this Agreement in accordance with the terms and conditions of this Agreement as if the Warrantee continued to be employed by the Company. The same applies if the employment relationship comes to an end because the Warrantee has reached the age of retirement from the Company or is entitled to old age pension (in Danish: "folkepension") or retirement pension (in Danish: "alderspension") from the Company.</w:t>
            </w:r>
          </w:p>
        </w:tc>
      </w:tr>
      <w:tr>
        <w:trPr/>
        <w:tc>
          <w:tcPr>
            <w:tcW w:w="290"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4329"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left"/>
              <w:rPr/>
            </w:pPr>
            <w:r>
              <w:rPr>
                <w:rStyle w:val="SourceText"/>
                <w:rFonts w:ascii="Times New Roman;Times;Serif" w:hAnsi="Times New Roman;Times;Serif"/>
                <w:sz w:val="20"/>
              </w:rPr>
              <w:t>6.3</w:t>
            </w:r>
          </w:p>
        </w:tc>
        <w:tc>
          <w:tcPr>
            <w:tcW w:w="5251" w:type="dxa"/>
            <w:tcBorders/>
            <w:vAlign w:val="center"/>
          </w:tcPr>
          <w:p>
            <w:pPr>
              <w:pStyle w:val="TableContents"/>
              <w:bidi w:val="0"/>
              <w:spacing w:before="0" w:after="283"/>
              <w:jc w:val="both"/>
              <w:rPr/>
            </w:pPr>
            <w:r>
              <w:rPr>
                <w:rStyle w:val="SourceText"/>
                <w:rFonts w:ascii="Times New Roman;Times;Serif" w:hAnsi="Times New Roman;Times;Serif"/>
                <w:sz w:val="20"/>
              </w:rPr>
              <w:t>Hvis Selskabet opsiger Warrantindehaverens ansættelse i Selskabet begrundet i Warrantindehaverens misligholdelse eller berettiget bortviser Warrantindehaveren, bortfalder samtlige Warrants, der er tildelt i henhold til denne Aftale, men som ikke er udnyttet på tidspunktet for udløbet af opsigelsesperioden.</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rStyle w:val="SourceText"/>
                <w:rFonts w:ascii="Times New Roman;Times;Serif" w:hAnsi="Times New Roman;Times;Serif"/>
                <w:sz w:val="20"/>
              </w:rPr>
              <w:t>6.3</w:t>
            </w:r>
          </w:p>
        </w:tc>
        <w:tc>
          <w:tcPr>
            <w:tcW w:w="4329" w:type="dxa"/>
            <w:tcBorders/>
            <w:vAlign w:val="center"/>
          </w:tcPr>
          <w:p>
            <w:pPr>
              <w:pStyle w:val="TableContents"/>
              <w:bidi w:val="0"/>
              <w:spacing w:before="0" w:after="283"/>
              <w:jc w:val="both"/>
              <w:rPr/>
            </w:pPr>
            <w:r>
              <w:rPr>
                <w:rStyle w:val="SourceText"/>
                <w:rFonts w:ascii="Times New Roman;Times;Serif" w:hAnsi="Times New Roman;Times;Serif"/>
                <w:sz w:val="20"/>
              </w:rPr>
              <w:t>In the event that the Company terminates the Warrantee's employment with the Company due to the Warrantee's breach (in Danish "misligholdelse") or summarily dismisses the Warrantee for cause (in Danish "bortvisning"), all Warrants granted pursuant to this Agreement, but not exercised at the time of the expiration of the notice period, becomes null and void.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4792"/>
        <w:gridCol w:w="60"/>
        <w:gridCol w:w="275"/>
        <w:gridCol w:w="4788"/>
      </w:tblGrid>
      <w:tr>
        <w:trPr/>
        <w:tc>
          <w:tcPr>
            <w:tcW w:w="290" w:type="dxa"/>
            <w:tcBorders/>
            <w:vAlign w:val="center"/>
          </w:tcPr>
          <w:p>
            <w:pPr>
              <w:pStyle w:val="TableContents"/>
              <w:bidi w:val="0"/>
              <w:spacing w:before="0" w:after="283"/>
              <w:jc w:val="left"/>
              <w:rPr/>
            </w:pPr>
            <w:r>
              <w:rPr>
                <w:rStyle w:val="SourceText"/>
                <w:rFonts w:ascii="Times New Roman;Times;Serif" w:hAnsi="Times New Roman;Times;Serif"/>
                <w:sz w:val="20"/>
              </w:rPr>
              <w:t>6.4</w:t>
            </w:r>
          </w:p>
        </w:tc>
        <w:tc>
          <w:tcPr>
            <w:tcW w:w="4792" w:type="dxa"/>
            <w:tcBorders/>
            <w:vAlign w:val="center"/>
          </w:tcPr>
          <w:p>
            <w:pPr>
              <w:pStyle w:val="TableContents"/>
              <w:bidi w:val="0"/>
              <w:spacing w:before="0" w:after="283"/>
              <w:jc w:val="both"/>
              <w:rPr/>
            </w:pPr>
            <w:r>
              <w:rPr>
                <w:rStyle w:val="SourceText"/>
                <w:rFonts w:ascii="Times New Roman;Times;Serif" w:hAnsi="Times New Roman;Times;Serif"/>
                <w:sz w:val="20"/>
              </w:rPr>
              <w:t>Hvis Warrantindehaveren opsiger sin ansættelse i Selskabet inden den 31. december 2020 med en hvilken som helst begrundelse, bortset fra Selskabets grove misligholdelse, bortfalder samtlige Warrants, der er tildelt i henhold til denne Aftale, men som ikke er udnyttet på tidspunktet for udløbet af opsigelsesperioden.</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rStyle w:val="SourceText"/>
                <w:rFonts w:ascii="Times New Roman;Times;Serif" w:hAnsi="Times New Roman;Times;Serif"/>
                <w:sz w:val="20"/>
              </w:rPr>
              <w:t>6.4</w:t>
            </w:r>
          </w:p>
        </w:tc>
        <w:tc>
          <w:tcPr>
            <w:tcW w:w="4788" w:type="dxa"/>
            <w:tcBorders/>
            <w:vAlign w:val="center"/>
          </w:tcPr>
          <w:p>
            <w:pPr>
              <w:pStyle w:val="TableContents"/>
              <w:bidi w:val="0"/>
              <w:spacing w:before="0" w:after="283"/>
              <w:jc w:val="both"/>
              <w:rPr/>
            </w:pPr>
            <w:r>
              <w:rPr>
                <w:rStyle w:val="SourceText"/>
                <w:rFonts w:ascii="Times New Roman;Times;Serif" w:hAnsi="Times New Roman;Times;Serif"/>
                <w:sz w:val="20"/>
              </w:rPr>
              <w:t>In the event that the Warrantee terminates the employment with the Company before December 31 2020 for any reason other than due the Company's material breach (in Danish: "grov misligholdelse"), all Warrants granted pursuant to this Agreement, but not exercised at the time of the expiration of the notice period, become null and void.</w:t>
            </w:r>
          </w:p>
        </w:tc>
      </w:tr>
      <w:tr>
        <w:trPr/>
        <w:tc>
          <w:tcPr>
            <w:tcW w:w="290" w:type="dxa"/>
            <w:tcBorders/>
            <w:vAlign w:val="center"/>
          </w:tcPr>
          <w:p>
            <w:pPr>
              <w:pStyle w:val="TableContents"/>
              <w:bidi w:val="0"/>
              <w:spacing w:before="0" w:after="283"/>
              <w:jc w:val="left"/>
              <w:rPr/>
            </w:pPr>
            <w:r>
              <w:rPr/>
              <w:t> </w:t>
            </w:r>
          </w:p>
        </w:tc>
        <w:tc>
          <w:tcPr>
            <w:tcW w:w="479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4788"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left"/>
              <w:rPr/>
            </w:pPr>
            <w:r>
              <w:rPr>
                <w:rStyle w:val="SourceText"/>
                <w:rFonts w:ascii="Times New Roman;Times;Serif" w:hAnsi="Times New Roman;Times;Serif"/>
                <w:sz w:val="20"/>
              </w:rPr>
              <w:t>6.5</w:t>
            </w:r>
          </w:p>
        </w:tc>
        <w:tc>
          <w:tcPr>
            <w:tcW w:w="4792" w:type="dxa"/>
            <w:tcBorders/>
            <w:vAlign w:val="center"/>
          </w:tcPr>
          <w:p>
            <w:pPr>
              <w:pStyle w:val="TableContents"/>
              <w:bidi w:val="0"/>
              <w:spacing w:before="0" w:after="283"/>
              <w:jc w:val="both"/>
              <w:rPr/>
            </w:pPr>
            <w:r>
              <w:rPr>
                <w:rStyle w:val="SourceText"/>
                <w:rFonts w:ascii="Times New Roman;Times;Serif" w:hAnsi="Times New Roman;Times;Serif"/>
                <w:sz w:val="20"/>
              </w:rPr>
              <w:t>Hvis Warrantindehaveren opsiger sin ansættelse i Selskabet fra og med den 31. december 2020 med en hvilken som helst begrundelse, bortset fra Selskabets grove misligholdelse, er Warrantindehaveren berettiget til at udnytte det antal Warrants tildelt i henhold til denne Aftale, som er anført nedenfor, i overensstemmelse med vilkårene i Aftalen, som om Warrantindehaveren stadig var ansat i Selskabet.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rStyle w:val="SourceText"/>
                <w:rFonts w:ascii="Times New Roman;Times;Serif" w:hAnsi="Times New Roman;Times;Serif"/>
                <w:sz w:val="20"/>
              </w:rPr>
              <w:t>6.5</w:t>
            </w:r>
          </w:p>
        </w:tc>
        <w:tc>
          <w:tcPr>
            <w:tcW w:w="4788" w:type="dxa"/>
            <w:tcBorders/>
            <w:vAlign w:val="center"/>
          </w:tcPr>
          <w:p>
            <w:pPr>
              <w:pStyle w:val="TableContents"/>
              <w:bidi w:val="0"/>
              <w:spacing w:before="0" w:after="283"/>
              <w:jc w:val="both"/>
              <w:rPr/>
            </w:pPr>
            <w:r>
              <w:rPr>
                <w:rStyle w:val="SourceText"/>
                <w:rFonts w:ascii="Times New Roman;Times;Serif" w:hAnsi="Times New Roman;Times;Serif"/>
                <w:sz w:val="20"/>
              </w:rPr>
              <w:t>If the Warrantee terminates the employment with the Company on or after December 31 2020 for any reason other than due to the Company's material breach (in Danish: "grov misligholdelse") the Warrantee shall have the right to exercise such number of Warrants granted pursuant to this Agreement as set out below in accordance with the terms and conditions of this Agreement as if the Warrantee continued to be employed by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170" w:type="dxa"/>
        <w:jc w:val="left"/>
        <w:tblInd w:w="-10" w:type="dxa"/>
        <w:tblLayout w:type="fixed"/>
        <w:tblCellMar>
          <w:top w:w="28" w:type="dxa"/>
          <w:left w:w="40" w:type="dxa"/>
          <w:bottom w:w="80" w:type="dxa"/>
          <w:right w:w="0" w:type="dxa"/>
        </w:tblCellMar>
      </w:tblPr>
      <w:tblGrid>
        <w:gridCol w:w="1835"/>
        <w:gridCol w:w="1295"/>
        <w:gridCol w:w="60"/>
        <w:gridCol w:w="1670"/>
        <w:gridCol w:w="1310"/>
      </w:tblGrid>
      <w:tr>
        <w:trPr/>
        <w:tc>
          <w:tcPr>
            <w:tcW w:w="1835" w:type="dxa"/>
            <w:tcBorders>
              <w:top w:val="single" w:sz="8" w:space="0" w:color="000000"/>
              <w:left w:val="single" w:sz="8" w:space="0" w:color="000000"/>
              <w:bottom w:val="single" w:sz="8" w:space="0" w:color="000000"/>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 xml:space="preserve">Dato for </w:t>
              <w:br/>
              <w:t>Warrantindehaverens</w:t>
              <w:br/>
              <w:t>opsigelse</w:t>
            </w:r>
          </w:p>
        </w:tc>
        <w:tc>
          <w:tcPr>
            <w:tcW w:w="129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of Warrants</w:t>
            </w:r>
          </w:p>
        </w:tc>
        <w:tc>
          <w:tcPr>
            <w:tcW w:w="60" w:type="dxa"/>
            <w:tcBorders/>
            <w:tcMar>
              <w:top w:w="0" w:type="dxa"/>
              <w:left w:w="0" w:type="dxa"/>
              <w:bottom w:w="0" w:type="dxa"/>
            </w:tcMar>
            <w:vAlign w:val="center"/>
          </w:tcPr>
          <w:p>
            <w:pPr>
              <w:pStyle w:val="TableContents"/>
              <w:bidi w:val="0"/>
              <w:spacing w:before="0" w:after="283"/>
              <w:jc w:val="both"/>
              <w:rPr/>
            </w:pPr>
            <w:r>
              <w:rPr/>
              <w:t> </w:t>
            </w:r>
          </w:p>
        </w:tc>
        <w:tc>
          <w:tcPr>
            <w:tcW w:w="167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Date of termination</w:t>
              <w:br/>
              <w:t>notice being served</w:t>
              <w:br/>
              <w:t>by the Warrantee</w:t>
            </w:r>
          </w:p>
        </w:tc>
        <w:tc>
          <w:tcPr>
            <w:tcW w:w="131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of Warrants</w:t>
            </w:r>
          </w:p>
        </w:tc>
      </w:tr>
      <w:tr>
        <w:trPr/>
        <w:tc>
          <w:tcPr>
            <w:tcW w:w="1835" w:type="dxa"/>
            <w:tcBorders>
              <w:left w:val="single" w:sz="8" w:space="0" w:color="000000"/>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 december 2020</w:t>
            </w:r>
          </w:p>
        </w:tc>
        <w:tc>
          <w:tcPr>
            <w:tcW w:w="129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33.333</w:t>
            </w:r>
          </w:p>
        </w:tc>
        <w:tc>
          <w:tcPr>
            <w:tcW w:w="60" w:type="dxa"/>
            <w:tcBorders/>
            <w:tcMar>
              <w:top w:w="0" w:type="dxa"/>
              <w:left w:w="0" w:type="dxa"/>
              <w:bottom w:w="0" w:type="dxa"/>
            </w:tcMar>
            <w:vAlign w:val="center"/>
          </w:tcPr>
          <w:p>
            <w:pPr>
              <w:pStyle w:val="TableContents"/>
              <w:bidi w:val="0"/>
              <w:spacing w:before="0" w:after="283"/>
              <w:jc w:val="both"/>
              <w:rPr/>
            </w:pPr>
            <w:r>
              <w:rPr/>
              <w:t> </w:t>
            </w:r>
          </w:p>
        </w:tc>
        <w:tc>
          <w:tcPr>
            <w:tcW w:w="16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December 31 2020 </w:t>
            </w:r>
          </w:p>
        </w:tc>
        <w:tc>
          <w:tcPr>
            <w:tcW w:w="13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33.333</w:t>
            </w:r>
          </w:p>
        </w:tc>
      </w:tr>
      <w:tr>
        <w:trPr/>
        <w:tc>
          <w:tcPr>
            <w:tcW w:w="1835" w:type="dxa"/>
            <w:tcBorders>
              <w:left w:val="single" w:sz="8" w:space="0" w:color="000000"/>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 april 2021</w:t>
            </w:r>
          </w:p>
        </w:tc>
        <w:tc>
          <w:tcPr>
            <w:tcW w:w="129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41.666</w:t>
            </w:r>
          </w:p>
        </w:tc>
        <w:tc>
          <w:tcPr>
            <w:tcW w:w="60" w:type="dxa"/>
            <w:tcBorders/>
            <w:tcMar>
              <w:top w:w="0" w:type="dxa"/>
              <w:left w:w="0" w:type="dxa"/>
              <w:bottom w:w="0" w:type="dxa"/>
            </w:tcMar>
            <w:vAlign w:val="center"/>
          </w:tcPr>
          <w:p>
            <w:pPr>
              <w:pStyle w:val="TableContents"/>
              <w:bidi w:val="0"/>
              <w:spacing w:before="0" w:after="283"/>
              <w:jc w:val="both"/>
              <w:rPr/>
            </w:pPr>
            <w:r>
              <w:rPr/>
              <w:t> </w:t>
            </w:r>
          </w:p>
        </w:tc>
        <w:tc>
          <w:tcPr>
            <w:tcW w:w="16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April 1 2021</w:t>
            </w:r>
          </w:p>
        </w:tc>
        <w:tc>
          <w:tcPr>
            <w:tcW w:w="13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41.666</w:t>
            </w:r>
          </w:p>
        </w:tc>
      </w:tr>
      <w:tr>
        <w:trPr/>
        <w:tc>
          <w:tcPr>
            <w:tcW w:w="1835" w:type="dxa"/>
            <w:tcBorders>
              <w:left w:val="single" w:sz="8" w:space="0" w:color="000000"/>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 juli 2021</w:t>
            </w:r>
          </w:p>
        </w:tc>
        <w:tc>
          <w:tcPr>
            <w:tcW w:w="129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49.999</w:t>
            </w:r>
          </w:p>
        </w:tc>
        <w:tc>
          <w:tcPr>
            <w:tcW w:w="60" w:type="dxa"/>
            <w:tcBorders/>
            <w:tcMar>
              <w:top w:w="0" w:type="dxa"/>
              <w:left w:w="0" w:type="dxa"/>
              <w:bottom w:w="0" w:type="dxa"/>
            </w:tcMar>
            <w:vAlign w:val="center"/>
          </w:tcPr>
          <w:p>
            <w:pPr>
              <w:pStyle w:val="TableContents"/>
              <w:bidi w:val="0"/>
              <w:spacing w:before="0" w:after="283"/>
              <w:jc w:val="both"/>
              <w:rPr/>
            </w:pPr>
            <w:r>
              <w:rPr/>
              <w:t> </w:t>
            </w:r>
          </w:p>
        </w:tc>
        <w:tc>
          <w:tcPr>
            <w:tcW w:w="16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1 2021</w:t>
            </w:r>
          </w:p>
        </w:tc>
        <w:tc>
          <w:tcPr>
            <w:tcW w:w="13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49.999</w:t>
            </w:r>
          </w:p>
        </w:tc>
      </w:tr>
      <w:tr>
        <w:trPr/>
        <w:tc>
          <w:tcPr>
            <w:tcW w:w="1835" w:type="dxa"/>
            <w:tcBorders>
              <w:left w:val="single" w:sz="8" w:space="0" w:color="000000"/>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 oktober 2021</w:t>
            </w:r>
          </w:p>
        </w:tc>
        <w:tc>
          <w:tcPr>
            <w:tcW w:w="129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58.332</w:t>
            </w:r>
          </w:p>
        </w:tc>
        <w:tc>
          <w:tcPr>
            <w:tcW w:w="60" w:type="dxa"/>
            <w:tcBorders/>
            <w:tcMar>
              <w:top w:w="0" w:type="dxa"/>
              <w:left w:w="0" w:type="dxa"/>
              <w:bottom w:w="0" w:type="dxa"/>
            </w:tcMar>
            <w:vAlign w:val="center"/>
          </w:tcPr>
          <w:p>
            <w:pPr>
              <w:pStyle w:val="TableContents"/>
              <w:bidi w:val="0"/>
              <w:spacing w:before="0" w:after="283"/>
              <w:jc w:val="both"/>
              <w:rPr/>
            </w:pPr>
            <w:r>
              <w:rPr/>
              <w:t> </w:t>
            </w:r>
          </w:p>
        </w:tc>
        <w:tc>
          <w:tcPr>
            <w:tcW w:w="16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October 1 2021</w:t>
            </w:r>
          </w:p>
        </w:tc>
        <w:tc>
          <w:tcPr>
            <w:tcW w:w="13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58.332</w:t>
            </w:r>
          </w:p>
        </w:tc>
      </w:tr>
      <w:tr>
        <w:trPr/>
        <w:tc>
          <w:tcPr>
            <w:tcW w:w="1835" w:type="dxa"/>
            <w:tcBorders>
              <w:left w:val="single" w:sz="8" w:space="0" w:color="000000"/>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 januar 2022</w:t>
            </w:r>
          </w:p>
        </w:tc>
        <w:tc>
          <w:tcPr>
            <w:tcW w:w="129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66.665</w:t>
            </w:r>
          </w:p>
        </w:tc>
        <w:tc>
          <w:tcPr>
            <w:tcW w:w="60" w:type="dxa"/>
            <w:tcBorders/>
            <w:tcMar>
              <w:top w:w="0" w:type="dxa"/>
              <w:left w:w="0" w:type="dxa"/>
              <w:bottom w:w="0" w:type="dxa"/>
            </w:tcMar>
            <w:vAlign w:val="center"/>
          </w:tcPr>
          <w:p>
            <w:pPr>
              <w:pStyle w:val="TableContents"/>
              <w:bidi w:val="0"/>
              <w:spacing w:before="0" w:after="283"/>
              <w:jc w:val="both"/>
              <w:rPr/>
            </w:pPr>
            <w:r>
              <w:rPr/>
              <w:t> </w:t>
            </w:r>
          </w:p>
        </w:tc>
        <w:tc>
          <w:tcPr>
            <w:tcW w:w="16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January 1 2022</w:t>
            </w:r>
          </w:p>
        </w:tc>
        <w:tc>
          <w:tcPr>
            <w:tcW w:w="13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66.665</w:t>
            </w:r>
          </w:p>
        </w:tc>
      </w:tr>
      <w:tr>
        <w:trPr/>
        <w:tc>
          <w:tcPr>
            <w:tcW w:w="1835" w:type="dxa"/>
            <w:tcBorders>
              <w:left w:val="single" w:sz="8" w:space="0" w:color="000000"/>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 april 2022</w:t>
            </w:r>
          </w:p>
        </w:tc>
        <w:tc>
          <w:tcPr>
            <w:tcW w:w="129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74.998</w:t>
            </w:r>
          </w:p>
        </w:tc>
        <w:tc>
          <w:tcPr>
            <w:tcW w:w="60" w:type="dxa"/>
            <w:tcBorders/>
            <w:tcMar>
              <w:top w:w="0" w:type="dxa"/>
              <w:left w:w="0" w:type="dxa"/>
              <w:bottom w:w="0" w:type="dxa"/>
            </w:tcMar>
            <w:vAlign w:val="center"/>
          </w:tcPr>
          <w:p>
            <w:pPr>
              <w:pStyle w:val="TableContents"/>
              <w:bidi w:val="0"/>
              <w:spacing w:before="0" w:after="283"/>
              <w:jc w:val="both"/>
              <w:rPr/>
            </w:pPr>
            <w:r>
              <w:rPr/>
              <w:t> </w:t>
            </w:r>
          </w:p>
        </w:tc>
        <w:tc>
          <w:tcPr>
            <w:tcW w:w="16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April 1 2022</w:t>
            </w:r>
          </w:p>
        </w:tc>
        <w:tc>
          <w:tcPr>
            <w:tcW w:w="13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74.998</w:t>
            </w:r>
          </w:p>
        </w:tc>
      </w:tr>
      <w:tr>
        <w:trPr/>
        <w:tc>
          <w:tcPr>
            <w:tcW w:w="1835" w:type="dxa"/>
            <w:tcBorders>
              <w:left w:val="single" w:sz="8" w:space="0" w:color="000000"/>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 juli 2022</w:t>
            </w:r>
          </w:p>
        </w:tc>
        <w:tc>
          <w:tcPr>
            <w:tcW w:w="129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83.331</w:t>
            </w:r>
          </w:p>
        </w:tc>
        <w:tc>
          <w:tcPr>
            <w:tcW w:w="60" w:type="dxa"/>
            <w:tcBorders/>
            <w:tcMar>
              <w:top w:w="0" w:type="dxa"/>
              <w:left w:w="0" w:type="dxa"/>
              <w:bottom w:w="0" w:type="dxa"/>
            </w:tcMar>
            <w:vAlign w:val="center"/>
          </w:tcPr>
          <w:p>
            <w:pPr>
              <w:pStyle w:val="TableContents"/>
              <w:bidi w:val="0"/>
              <w:spacing w:before="0" w:after="283"/>
              <w:jc w:val="both"/>
              <w:rPr/>
            </w:pPr>
            <w:r>
              <w:rPr/>
              <w:t> </w:t>
            </w:r>
          </w:p>
        </w:tc>
        <w:tc>
          <w:tcPr>
            <w:tcW w:w="16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1 2022</w:t>
            </w:r>
          </w:p>
        </w:tc>
        <w:tc>
          <w:tcPr>
            <w:tcW w:w="13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83.331</w:t>
            </w:r>
          </w:p>
        </w:tc>
      </w:tr>
      <w:tr>
        <w:trPr/>
        <w:tc>
          <w:tcPr>
            <w:tcW w:w="1835" w:type="dxa"/>
            <w:tcBorders>
              <w:left w:val="single" w:sz="8" w:space="0" w:color="000000"/>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 oktober 2022</w:t>
            </w:r>
          </w:p>
        </w:tc>
        <w:tc>
          <w:tcPr>
            <w:tcW w:w="129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91.664</w:t>
            </w:r>
          </w:p>
        </w:tc>
        <w:tc>
          <w:tcPr>
            <w:tcW w:w="60" w:type="dxa"/>
            <w:tcBorders/>
            <w:tcMar>
              <w:top w:w="0" w:type="dxa"/>
              <w:left w:w="0" w:type="dxa"/>
              <w:bottom w:w="0" w:type="dxa"/>
            </w:tcMar>
            <w:vAlign w:val="center"/>
          </w:tcPr>
          <w:p>
            <w:pPr>
              <w:pStyle w:val="TableContents"/>
              <w:bidi w:val="0"/>
              <w:spacing w:before="0" w:after="283"/>
              <w:jc w:val="both"/>
              <w:rPr/>
            </w:pPr>
            <w:r>
              <w:rPr/>
              <w:t> </w:t>
            </w:r>
          </w:p>
        </w:tc>
        <w:tc>
          <w:tcPr>
            <w:tcW w:w="16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October 1 2022</w:t>
            </w:r>
          </w:p>
        </w:tc>
        <w:tc>
          <w:tcPr>
            <w:tcW w:w="13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91.664</w:t>
            </w:r>
          </w:p>
        </w:tc>
      </w:tr>
      <w:tr>
        <w:trPr/>
        <w:tc>
          <w:tcPr>
            <w:tcW w:w="1835" w:type="dxa"/>
            <w:tcBorders>
              <w:left w:val="single" w:sz="8" w:space="0" w:color="000000"/>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30. december 2022</w:t>
            </w:r>
          </w:p>
        </w:tc>
        <w:tc>
          <w:tcPr>
            <w:tcW w:w="129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w:t>
            </w:r>
          </w:p>
        </w:tc>
        <w:tc>
          <w:tcPr>
            <w:tcW w:w="60" w:type="dxa"/>
            <w:tcBorders/>
            <w:tcMar>
              <w:top w:w="0" w:type="dxa"/>
              <w:left w:w="0" w:type="dxa"/>
              <w:bottom w:w="0" w:type="dxa"/>
            </w:tcMar>
            <w:vAlign w:val="center"/>
          </w:tcPr>
          <w:p>
            <w:pPr>
              <w:pStyle w:val="TableContents"/>
              <w:bidi w:val="0"/>
              <w:spacing w:before="0" w:after="283"/>
              <w:jc w:val="both"/>
              <w:rPr/>
            </w:pPr>
            <w:r>
              <w:rPr/>
              <w:t> </w:t>
            </w:r>
          </w:p>
        </w:tc>
        <w:tc>
          <w:tcPr>
            <w:tcW w:w="16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December 30 2022</w:t>
            </w:r>
          </w:p>
        </w:tc>
        <w:tc>
          <w:tcPr>
            <w:tcW w:w="13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4584"/>
        <w:gridCol w:w="60"/>
        <w:gridCol w:w="275"/>
        <w:gridCol w:w="4996"/>
      </w:tblGrid>
      <w:tr>
        <w:trPr/>
        <w:tc>
          <w:tcPr>
            <w:tcW w:w="290" w:type="dxa"/>
            <w:tcBorders/>
            <w:vAlign w:val="center"/>
          </w:tcPr>
          <w:p>
            <w:pPr>
              <w:pStyle w:val="TableContents"/>
              <w:bidi w:val="0"/>
              <w:spacing w:before="0" w:after="283"/>
              <w:ind w:left="0" w:right="0" w:hanging="720"/>
              <w:jc w:val="left"/>
              <w:rPr>
                <w:color w:val="000000"/>
              </w:rPr>
            </w:pPr>
            <w:r>
              <w:rPr>
                <w:color w:val="000000"/>
              </w:rPr>
              <w:t> </w:t>
            </w:r>
          </w:p>
        </w:tc>
        <w:tc>
          <w:tcPr>
            <w:tcW w:w="4584" w:type="dxa"/>
            <w:tcBorders/>
            <w:vAlign w:val="center"/>
          </w:tcPr>
          <w:p>
            <w:pPr>
              <w:pStyle w:val="TableContents"/>
              <w:bidi w:val="0"/>
              <w:spacing w:before="0" w:after="0"/>
              <w:ind w:left="0" w:right="0" w:hanging="0"/>
              <w:jc w:val="both"/>
              <w:rPr/>
            </w:pPr>
            <w:r>
              <w:rPr>
                <w:rStyle w:val="SourceText"/>
                <w:rFonts w:ascii="Times New Roman;Times;Serif" w:hAnsi="Times New Roman;Times;Serif"/>
                <w:b w:val="false"/>
                <w:i w:val="false"/>
                <w:caps w:val="false"/>
                <w:smallCaps w:val="false"/>
                <w:color w:val="000000"/>
                <w:sz w:val="20"/>
              </w:rPr>
              <w:t>Resterende Warrants, som ikke er udnyttet på tidspunktet for udløbet af opsigelsesperioden, bortfalder.</w:t>
            </w:r>
          </w:p>
        </w:tc>
        <w:tc>
          <w:tcPr>
            <w:tcW w:w="60" w:type="dxa"/>
            <w:tcBorders/>
            <w:vAlign w:val="center"/>
          </w:tcPr>
          <w:p>
            <w:pPr>
              <w:pStyle w:val="TableContents"/>
              <w:bidi w:val="0"/>
              <w:spacing w:before="0" w:after="283"/>
              <w:jc w:val="left"/>
              <w:rPr>
                <w:color w:val="000000"/>
              </w:rPr>
            </w:pPr>
            <w:r>
              <w:rPr>
                <w:color w:val="000000"/>
              </w:rPr>
              <w:t> </w:t>
            </w:r>
          </w:p>
        </w:tc>
        <w:tc>
          <w:tcPr>
            <w:tcW w:w="275" w:type="dxa"/>
            <w:tcBorders/>
            <w:vAlign w:val="center"/>
          </w:tcPr>
          <w:p>
            <w:pPr>
              <w:pStyle w:val="TableContents"/>
              <w:bidi w:val="0"/>
              <w:spacing w:before="0" w:after="283"/>
              <w:jc w:val="left"/>
              <w:rPr>
                <w:color w:val="000000"/>
              </w:rPr>
            </w:pPr>
            <w:r>
              <w:rPr>
                <w:color w:val="000000"/>
              </w:rPr>
              <w:t> </w:t>
            </w:r>
          </w:p>
        </w:tc>
        <w:tc>
          <w:tcPr>
            <w:tcW w:w="4996" w:type="dxa"/>
            <w:tcBorders/>
            <w:vAlign w:val="center"/>
          </w:tcPr>
          <w:p>
            <w:pPr>
              <w:pStyle w:val="TableContents"/>
              <w:bidi w:val="0"/>
              <w:spacing w:before="0" w:after="283"/>
              <w:ind w:left="0" w:right="0" w:hanging="720"/>
              <w:jc w:val="both"/>
              <w:rPr/>
            </w:pPr>
            <w:r>
              <w:rPr>
                <w:rStyle w:val="SourceText"/>
                <w:rFonts w:ascii="Times New Roman;Times;Serif" w:hAnsi="Times New Roman;Times;Serif"/>
                <w:color w:val="000000"/>
                <w:sz w:val="20"/>
              </w:rPr>
              <w:t>Remaining Warrants not exercised at the time of the expiration of the notice period, become null and void.</w:t>
            </w:r>
          </w:p>
        </w:tc>
      </w:tr>
      <w:tr>
        <w:trPr/>
        <w:tc>
          <w:tcPr>
            <w:tcW w:w="290" w:type="dxa"/>
            <w:tcBorders/>
            <w:vAlign w:val="center"/>
          </w:tcPr>
          <w:p>
            <w:pPr>
              <w:pStyle w:val="TableContents"/>
              <w:bidi w:val="0"/>
              <w:spacing w:before="0" w:after="283"/>
              <w:jc w:val="left"/>
              <w:rPr/>
            </w:pPr>
            <w:r>
              <w:rPr/>
              <w:t> </w:t>
            </w:r>
          </w:p>
        </w:tc>
        <w:tc>
          <w:tcPr>
            <w:tcW w:w="4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4996"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pPr>
            <w:r>
              <w:rPr>
                <w:rStyle w:val="SourceText"/>
                <w:rFonts w:ascii="Times New Roman;Times;Serif" w:hAnsi="Times New Roman;Times;Serif"/>
                <w:sz w:val="20"/>
              </w:rPr>
              <w:t>6.6</w:t>
            </w:r>
          </w:p>
        </w:tc>
        <w:tc>
          <w:tcPr>
            <w:tcW w:w="4584" w:type="dxa"/>
            <w:tcBorders/>
            <w:vAlign w:val="center"/>
          </w:tcPr>
          <w:p>
            <w:pPr>
              <w:pStyle w:val="TableContents"/>
              <w:bidi w:val="0"/>
              <w:spacing w:before="0" w:after="283"/>
              <w:jc w:val="both"/>
              <w:rPr/>
            </w:pPr>
            <w:r>
              <w:rPr>
                <w:rStyle w:val="SourceText"/>
                <w:rFonts w:ascii="Times New Roman;Times;Serif" w:hAnsi="Times New Roman;Times;Serif"/>
                <w:sz w:val="20"/>
              </w:rPr>
              <w:t>Hvis Warrantindehaveren opsiger sin ansættelse i Selskabet begrundet i Selskabets grove misligholdelse, er Warrantindehaveren berettiget til at udnytte Warrants tildelt i henhold til denne Aftale i overensstemmelse med vilkårene i Aftalen, som om Warrantindehaveren stadig var ansat i Selskabet.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rStyle w:val="SourceText"/>
                <w:rFonts w:ascii="Times New Roman;Times;Serif" w:hAnsi="Times New Roman;Times;Serif"/>
                <w:sz w:val="20"/>
              </w:rPr>
              <w:t>6.6</w:t>
            </w:r>
          </w:p>
        </w:tc>
        <w:tc>
          <w:tcPr>
            <w:tcW w:w="4996" w:type="dxa"/>
            <w:tcBorders/>
            <w:vAlign w:val="center"/>
          </w:tcPr>
          <w:p>
            <w:pPr>
              <w:pStyle w:val="TableContents"/>
              <w:bidi w:val="0"/>
              <w:spacing w:before="0" w:after="283"/>
              <w:jc w:val="both"/>
              <w:rPr/>
            </w:pPr>
            <w:r>
              <w:rPr>
                <w:rStyle w:val="SourceText"/>
                <w:rFonts w:ascii="Times New Roman;Times;Serif" w:hAnsi="Times New Roman;Times;Serif"/>
                <w:sz w:val="20"/>
              </w:rPr>
              <w:t>In the event that the Warrantee terminates the employment with the Company due to the Company's material breach (in Danish: "grov misligholdelse"), the Warrantee shall have the right to exercise any Warrants granted pursuant to this Agreement in accordance with the terms and conditions of this Agreement as if the Warrantee continued to be employed by the Company.</w:t>
            </w:r>
          </w:p>
        </w:tc>
      </w:tr>
      <w:tr>
        <w:trPr/>
        <w:tc>
          <w:tcPr>
            <w:tcW w:w="290" w:type="dxa"/>
            <w:tcBorders/>
            <w:vAlign w:val="center"/>
          </w:tcPr>
          <w:p>
            <w:pPr>
              <w:pStyle w:val="TableContents"/>
              <w:bidi w:val="0"/>
              <w:spacing w:before="0" w:after="283"/>
              <w:jc w:val="left"/>
              <w:rPr/>
            </w:pPr>
            <w:r>
              <w:rPr/>
              <w:t> </w:t>
            </w:r>
          </w:p>
        </w:tc>
        <w:tc>
          <w:tcPr>
            <w:tcW w:w="4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4996"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pPr>
            <w:r>
              <w:rPr>
                <w:rStyle w:val="SourceText"/>
                <w:rFonts w:ascii="Times New Roman;Times;Serif" w:hAnsi="Times New Roman;Times;Serif"/>
                <w:sz w:val="20"/>
              </w:rPr>
              <w:t>6.7</w:t>
            </w:r>
          </w:p>
        </w:tc>
        <w:tc>
          <w:tcPr>
            <w:tcW w:w="4584" w:type="dxa"/>
            <w:tcBorders/>
            <w:vAlign w:val="center"/>
          </w:tcPr>
          <w:p>
            <w:pPr>
              <w:pStyle w:val="TableContents"/>
              <w:bidi w:val="0"/>
              <w:spacing w:before="0" w:after="283"/>
              <w:jc w:val="both"/>
              <w:rPr/>
            </w:pPr>
            <w:r>
              <w:rPr>
                <w:rStyle w:val="SourceText"/>
                <w:rFonts w:ascii="Times New Roman;Times;Serif" w:hAnsi="Times New Roman;Times;Serif"/>
                <w:sz w:val="20"/>
              </w:rPr>
              <w:t>I tilfælde af Warrantindehaverens død, vil Warrantindehaverens bo eller Warrantindehaverens overlevende ægtefælle (hvis denne sidder i uskiftet bo) være berettiget til at udnytte Warrants i overensstemmelse med vilkårene i denne Aftale.</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rStyle w:val="SourceText"/>
                <w:rFonts w:ascii="Times New Roman;Times;Serif" w:hAnsi="Times New Roman;Times;Serif"/>
                <w:sz w:val="20"/>
              </w:rPr>
              <w:t>6.7</w:t>
            </w:r>
          </w:p>
        </w:tc>
        <w:tc>
          <w:tcPr>
            <w:tcW w:w="4996" w:type="dxa"/>
            <w:tcBorders/>
            <w:vAlign w:val="center"/>
          </w:tcPr>
          <w:p>
            <w:pPr>
              <w:pStyle w:val="TableContents"/>
              <w:bidi w:val="0"/>
              <w:spacing w:before="0" w:after="283"/>
              <w:jc w:val="both"/>
              <w:rPr/>
            </w:pPr>
            <w:r>
              <w:rPr>
                <w:rStyle w:val="SourceText"/>
                <w:rFonts w:ascii="Times New Roman;Times;Serif" w:hAnsi="Times New Roman;Times;Serif"/>
                <w:sz w:val="20"/>
              </w:rPr>
              <w:t>In the event of the death of the Warrantee, the estate of the Warrantee or the spouse of the Warrantee (if the surviving spouse retains undivided possession of the estate) shall have the right to exercise any Warrants in accordance with the terms and conditions of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555"/>
        <w:gridCol w:w="4198"/>
        <w:gridCol w:w="60"/>
        <w:gridCol w:w="425"/>
        <w:gridCol w:w="534"/>
        <w:gridCol w:w="3993"/>
      </w:tblGrid>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4753"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ÆNDRING I RETSSTILLING ELLER SELSKABSKAPITAL</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4527"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CHANGE OF LEGAL STATUS OR SHARE CAPITAL</w:t>
            </w:r>
          </w:p>
        </w:tc>
      </w:tr>
      <w:tr>
        <w:trPr/>
        <w:tc>
          <w:tcPr>
            <w:tcW w:w="440" w:type="dxa"/>
            <w:tcBorders/>
            <w:vAlign w:val="center"/>
          </w:tcPr>
          <w:p>
            <w:pPr>
              <w:pStyle w:val="TableContents"/>
              <w:bidi w:val="0"/>
              <w:spacing w:before="0" w:after="283"/>
              <w:jc w:val="left"/>
              <w:rPr/>
            </w:pPr>
            <w:r>
              <w:rPr/>
              <w:t> </w:t>
            </w:r>
          </w:p>
        </w:tc>
        <w:tc>
          <w:tcPr>
            <w:tcW w:w="4753"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527" w:type="dxa"/>
            <w:gridSpan w:val="2"/>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4753" w:type="dxa"/>
            <w:gridSpan w:val="2"/>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Ændring i selskabskapital</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4527"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of Share Capital</w:t>
            </w:r>
          </w:p>
        </w:tc>
      </w:tr>
      <w:tr>
        <w:trPr/>
        <w:tc>
          <w:tcPr>
            <w:tcW w:w="440" w:type="dxa"/>
            <w:tcBorders/>
            <w:vAlign w:val="center"/>
          </w:tcPr>
          <w:p>
            <w:pPr>
              <w:pStyle w:val="TableContents"/>
              <w:bidi w:val="0"/>
              <w:spacing w:before="0" w:after="283"/>
              <w:jc w:val="left"/>
              <w:rPr/>
            </w:pPr>
            <w:r>
              <w:rPr/>
              <w:t> </w:t>
            </w:r>
          </w:p>
        </w:tc>
        <w:tc>
          <w:tcPr>
            <w:tcW w:w="4753"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527" w:type="dxa"/>
            <w:gridSpan w:val="2"/>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7.1.1</w:t>
            </w:r>
          </w:p>
        </w:tc>
        <w:tc>
          <w:tcPr>
            <w:tcW w:w="475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tilfælde af ændringer i Selskabets selskabskapital, herunder men ikke begrænset til:</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7.1.1</w:t>
            </w:r>
          </w:p>
        </w:tc>
        <w:tc>
          <w:tcPr>
            <w:tcW w:w="4527"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case of changes in the Company’s share capital including but not limited to</w:t>
            </w:r>
          </w:p>
        </w:tc>
      </w:tr>
      <w:tr>
        <w:trPr/>
        <w:tc>
          <w:tcPr>
            <w:tcW w:w="440" w:type="dxa"/>
            <w:tcBorders/>
            <w:vAlign w:val="center"/>
          </w:tcPr>
          <w:p>
            <w:pPr>
              <w:pStyle w:val="TableContents"/>
              <w:bidi w:val="0"/>
              <w:spacing w:before="0" w:after="283"/>
              <w:jc w:val="left"/>
              <w:rPr/>
            </w:pPr>
            <w:r>
              <w:rPr/>
              <w:t> </w:t>
            </w:r>
          </w:p>
        </w:tc>
        <w:tc>
          <w:tcPr>
            <w:tcW w:w="4753"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527" w:type="dxa"/>
            <w:gridSpan w:val="2"/>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4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forøgelse af selskabskapitalen,</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3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of the share capital,</w:t>
            </w:r>
          </w:p>
        </w:tc>
      </w:tr>
      <w:tr>
        <w:trPr/>
        <w:tc>
          <w:tcPr>
            <w:tcW w:w="440" w:type="dxa"/>
            <w:tcBorders/>
            <w:vAlign w:val="center"/>
          </w:tcPr>
          <w:p>
            <w:pPr>
              <w:pStyle w:val="TableContents"/>
              <w:bidi w:val="0"/>
              <w:spacing w:before="0" w:after="283"/>
              <w:jc w:val="left"/>
              <w:rPr/>
            </w:pPr>
            <w:r>
              <w:rPr/>
              <w:t> </w:t>
            </w:r>
          </w:p>
        </w:tc>
        <w:tc>
          <w:tcPr>
            <w:tcW w:w="4753"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527" w:type="dxa"/>
            <w:gridSpan w:val="2"/>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4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udstedelse af konvertible obligationer,</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3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of convertible bonds,</w:t>
            </w:r>
          </w:p>
        </w:tc>
      </w:tr>
      <w:tr>
        <w:trPr/>
        <w:tc>
          <w:tcPr>
            <w:tcW w:w="440" w:type="dxa"/>
            <w:tcBorders/>
            <w:vAlign w:val="center"/>
          </w:tcPr>
          <w:p>
            <w:pPr>
              <w:pStyle w:val="TableContents"/>
              <w:bidi w:val="0"/>
              <w:spacing w:before="0" w:after="283"/>
              <w:jc w:val="left"/>
              <w:rPr/>
            </w:pPr>
            <w:r>
              <w:rPr/>
              <w:t> </w:t>
            </w:r>
          </w:p>
        </w:tc>
        <w:tc>
          <w:tcPr>
            <w:tcW w:w="4753"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527" w:type="dxa"/>
            <w:gridSpan w:val="2"/>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4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udstedelse af nye tegningsretter, eller</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3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of new subscription rights, or</w:t>
            </w:r>
          </w:p>
        </w:tc>
      </w:tr>
      <w:tr>
        <w:trPr/>
        <w:tc>
          <w:tcPr>
            <w:tcW w:w="440" w:type="dxa"/>
            <w:tcBorders/>
            <w:vAlign w:val="center"/>
          </w:tcPr>
          <w:p>
            <w:pPr>
              <w:pStyle w:val="TableContents"/>
              <w:bidi w:val="0"/>
              <w:spacing w:before="0" w:after="283"/>
              <w:jc w:val="left"/>
              <w:rPr/>
            </w:pPr>
            <w:r>
              <w:rPr/>
              <w:t> </w:t>
            </w:r>
          </w:p>
        </w:tc>
        <w:tc>
          <w:tcPr>
            <w:tcW w:w="4753"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527" w:type="dxa"/>
            <w:gridSpan w:val="2"/>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4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nedsættelse af selskabskapitalen,</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3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 of the share capital,</w:t>
            </w:r>
          </w:p>
        </w:tc>
      </w:tr>
      <w:tr>
        <w:trPr/>
        <w:tc>
          <w:tcPr>
            <w:tcW w:w="440" w:type="dxa"/>
            <w:tcBorders/>
            <w:vAlign w:val="center"/>
          </w:tcPr>
          <w:p>
            <w:pPr>
              <w:pStyle w:val="TableContents"/>
              <w:bidi w:val="0"/>
              <w:spacing w:before="0" w:after="283"/>
              <w:jc w:val="left"/>
              <w:rPr/>
            </w:pPr>
            <w:r>
              <w:rPr/>
              <w:t> </w:t>
            </w:r>
          </w:p>
        </w:tc>
        <w:tc>
          <w:tcPr>
            <w:tcW w:w="4753"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527" w:type="dxa"/>
            <w:gridSpan w:val="2"/>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pPr>
            <w:r>
              <w:rPr/>
              <w:t> </w:t>
            </w:r>
          </w:p>
        </w:tc>
        <w:tc>
          <w:tcPr>
            <w:tcW w:w="475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uanset om dette sker til en kurs, der er lig med markedskursen for Selskabets kapitalandele, eller til en overkurs, eller hvis ændringerne nævnt i 7.1.1 (i)-(iv) sker til favørkurs, sker der ingen regulering i Warrants.</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527"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at a rate that is equal to the market price of the shares of the Company or at premium rate ("overkurs"), or if the changes mentioned in Clause 7.1.1 (i)-(iv) are made at a special price ("favørkurs") no regulation of Warrants shall occur.</w:t>
            </w:r>
          </w:p>
        </w:tc>
      </w:tr>
      <w:tr>
        <w:trPr/>
        <w:tc>
          <w:tcPr>
            <w:tcW w:w="440" w:type="dxa"/>
            <w:tcBorders/>
            <w:vAlign w:val="center"/>
          </w:tcPr>
          <w:p>
            <w:pPr>
              <w:pStyle w:val="TableContents"/>
              <w:bidi w:val="0"/>
              <w:spacing w:before="0" w:after="283"/>
              <w:jc w:val="left"/>
              <w:rPr/>
            </w:pPr>
            <w:r>
              <w:rPr/>
              <w:t> </w:t>
            </w:r>
          </w:p>
        </w:tc>
        <w:tc>
          <w:tcPr>
            <w:tcW w:w="4753"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527" w:type="dxa"/>
            <w:gridSpan w:val="2"/>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7.1.2</w:t>
            </w:r>
          </w:p>
        </w:tc>
        <w:tc>
          <w:tcPr>
            <w:tcW w:w="475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den nominelle værdi af Selskabets kapitalandele ændres, skal antallet af Warrants (antal af kapitalandele) og/eller Udnyttelsesprisen tilpasses, således at værdien af Warrants ikke bliver påvirket af sådanne ændringer.</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7.1.2</w:t>
            </w:r>
          </w:p>
        </w:tc>
        <w:tc>
          <w:tcPr>
            <w:tcW w:w="4527"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nominal value of the shares of the Company is amended, the number of Warrants (number of shares) and/or the Exercise Price shall be adjusted, so that the value of the Warrants is not affected by the said amendments.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323"/>
        <w:gridCol w:w="4724"/>
        <w:gridCol w:w="60"/>
        <w:gridCol w:w="425"/>
        <w:gridCol w:w="326"/>
        <w:gridCol w:w="3907"/>
      </w:tblGrid>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7.1.3</w:t>
            </w:r>
          </w:p>
        </w:tc>
        <w:tc>
          <w:tcPr>
            <w:tcW w:w="5047"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selskabskapitalen nedsættes til dækning af tab, skal antallet af kapitalandele, som Warrantindehaveren kan tegne gennem udnyttelse af Warrants, reduceres (nedrundet) forholdsmæssigt til den nominelle reduktion af kapitalen sammenholdt med Selskabets totale nominelle selskabskapital før reduktionen.</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7.1.3</w:t>
            </w:r>
          </w:p>
        </w:tc>
        <w:tc>
          <w:tcPr>
            <w:tcW w:w="423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 capital is reduced in order to cover losses, the number of shares for which the Warrantee may subscribe by exercising the Warrants shall be reduced (rounded down) proportionately to the nominal reduction of the capital compared to the total nominal share capital of the Company before the reduction.</w:t>
            </w:r>
          </w:p>
        </w:tc>
      </w:tr>
      <w:tr>
        <w:trPr/>
        <w:tc>
          <w:tcPr>
            <w:tcW w:w="440" w:type="dxa"/>
            <w:tcBorders/>
            <w:vAlign w:val="center"/>
          </w:tcPr>
          <w:p>
            <w:pPr>
              <w:pStyle w:val="TableContents"/>
              <w:bidi w:val="0"/>
              <w:spacing w:before="0" w:after="283"/>
              <w:jc w:val="left"/>
              <w:rPr/>
            </w:pPr>
            <w:r>
              <w:rPr/>
              <w:t> </w:t>
            </w:r>
          </w:p>
        </w:tc>
        <w:tc>
          <w:tcPr>
            <w:tcW w:w="5047"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33" w:type="dxa"/>
            <w:gridSpan w:val="2"/>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5047" w:type="dxa"/>
            <w:gridSpan w:val="2"/>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Andre ændringer</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4233" w:type="dxa"/>
            <w:gridSpan w:val="2"/>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Other Changes</w:t>
            </w:r>
          </w:p>
        </w:tc>
      </w:tr>
      <w:tr>
        <w:trPr/>
        <w:tc>
          <w:tcPr>
            <w:tcW w:w="440" w:type="dxa"/>
            <w:tcBorders/>
            <w:vAlign w:val="center"/>
          </w:tcPr>
          <w:p>
            <w:pPr>
              <w:pStyle w:val="TableContents"/>
              <w:bidi w:val="0"/>
              <w:spacing w:before="0" w:after="283"/>
              <w:jc w:val="left"/>
              <w:rPr/>
            </w:pPr>
            <w:r>
              <w:rPr/>
              <w:t> </w:t>
            </w:r>
          </w:p>
        </w:tc>
        <w:tc>
          <w:tcPr>
            <w:tcW w:w="5047"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33" w:type="dxa"/>
            <w:gridSpan w:val="2"/>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7.2.1</w:t>
            </w:r>
          </w:p>
        </w:tc>
        <w:tc>
          <w:tcPr>
            <w:tcW w:w="5047"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der træffes beslutning om</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7.2.1</w:t>
            </w:r>
          </w:p>
        </w:tc>
        <w:tc>
          <w:tcPr>
            <w:tcW w:w="423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resolution is made to</w:t>
            </w:r>
          </w:p>
        </w:tc>
      </w:tr>
      <w:tr>
        <w:trPr/>
        <w:tc>
          <w:tcPr>
            <w:tcW w:w="440" w:type="dxa"/>
            <w:tcBorders/>
            <w:vAlign w:val="center"/>
          </w:tcPr>
          <w:p>
            <w:pPr>
              <w:pStyle w:val="TableContents"/>
              <w:bidi w:val="0"/>
              <w:spacing w:before="0" w:after="283"/>
              <w:jc w:val="left"/>
              <w:rPr/>
            </w:pPr>
            <w:r>
              <w:rPr/>
              <w:t> </w:t>
            </w:r>
          </w:p>
        </w:tc>
        <w:tc>
          <w:tcPr>
            <w:tcW w:w="5047"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33" w:type="dxa"/>
            <w:gridSpan w:val="2"/>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47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likvidere eller afvikle Selskabet,</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3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liquidate or wind up the Company,</w:t>
            </w:r>
          </w:p>
        </w:tc>
      </w:tr>
      <w:tr>
        <w:trPr/>
        <w:tc>
          <w:tcPr>
            <w:tcW w:w="440" w:type="dxa"/>
            <w:tcBorders/>
            <w:vAlign w:val="center"/>
          </w:tcPr>
          <w:p>
            <w:pPr>
              <w:pStyle w:val="TableContents"/>
              <w:bidi w:val="0"/>
              <w:spacing w:before="0" w:after="283"/>
              <w:jc w:val="left"/>
              <w:rPr/>
            </w:pPr>
            <w:r>
              <w:rPr/>
              <w:t> </w:t>
            </w:r>
          </w:p>
        </w:tc>
        <w:tc>
          <w:tcPr>
            <w:tcW w:w="5047"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33" w:type="dxa"/>
            <w:gridSpan w:val="2"/>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47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spalte Selskabet eller</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3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demerge the Company, or</w:t>
            </w:r>
          </w:p>
        </w:tc>
      </w:tr>
      <w:tr>
        <w:trPr/>
        <w:tc>
          <w:tcPr>
            <w:tcW w:w="440" w:type="dxa"/>
            <w:tcBorders/>
            <w:vAlign w:val="center"/>
          </w:tcPr>
          <w:p>
            <w:pPr>
              <w:pStyle w:val="TableContents"/>
              <w:bidi w:val="0"/>
              <w:spacing w:before="0" w:after="283"/>
              <w:jc w:val="left"/>
              <w:rPr/>
            </w:pPr>
            <w:r>
              <w:rPr/>
              <w:t> </w:t>
            </w:r>
          </w:p>
        </w:tc>
        <w:tc>
          <w:tcPr>
            <w:tcW w:w="5047"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33" w:type="dxa"/>
            <w:gridSpan w:val="2"/>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47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gennemføre en kapitalandelsombytning, der omfatter samtlige kapitalandele i Selskabet (oprettelse af et holdingselskab/apportindskud),</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3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 an exchange of shares which includes all shares in the Company (establishment of a holding company/non-cash contribution),</w:t>
            </w:r>
          </w:p>
        </w:tc>
      </w:tr>
      <w:tr>
        <w:trPr/>
        <w:tc>
          <w:tcPr>
            <w:tcW w:w="440" w:type="dxa"/>
            <w:tcBorders/>
            <w:vAlign w:val="center"/>
          </w:tcPr>
          <w:p>
            <w:pPr>
              <w:pStyle w:val="TableContents"/>
              <w:bidi w:val="0"/>
              <w:spacing w:before="0" w:after="283"/>
              <w:jc w:val="left"/>
              <w:rPr/>
            </w:pPr>
            <w:r>
              <w:rPr/>
              <w:t> </w:t>
            </w:r>
          </w:p>
        </w:tc>
        <w:tc>
          <w:tcPr>
            <w:tcW w:w="5047"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33" w:type="dxa"/>
            <w:gridSpan w:val="2"/>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pPr>
            <w:r>
              <w:rPr/>
              <w:t> </w:t>
            </w:r>
          </w:p>
        </w:tc>
        <w:tc>
          <w:tcPr>
            <w:tcW w:w="5047"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er Warrantindehaveren berettiget til at udnytte Warrants på ikrafttrædelsesdatoen for den relevante ændring, jf. dog punkt 7.2.2. Selskabets Bestyrelse skal skriftligt meddele Warrantindehaveren, hvis der træffes en af de ovennævnte beslutninger, og Warrantindehaveren kan udnytte samtlige Warrants inden for 30 dage fra datoen for meddelelsen. Samtlige Warrants, som Selskabets Bestyrelse ikke har modtaget en Udnyttelsesmeddelelse for inden udgangen af 30-dages fristen, bortfalder automatisk uden yderligere varsel eller kompensation, medmindre de erstattes i henhold til punkt 7.2.2.</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3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Warrantee shall be entitled to exercise their Warrants on the effective date of the relevant change, see however Clause 7.2.2. The Company’s Board shall give written notice to the Warrantee if one of the above resolutions is made and the Warrantee may exercise all such Warrants within 30 days from the date of such notice. If the Board has not received an Exercise Notice prior to the expiry of the 30 days' notice the Warrants will automatically and without further notice be cancelled and become void without notice or compensation unless replaced in accordance with Clause 7.2.2.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230"/>
        <w:gridCol w:w="4497"/>
        <w:gridCol w:w="60"/>
        <w:gridCol w:w="425"/>
        <w:gridCol w:w="435"/>
        <w:gridCol w:w="4118"/>
      </w:tblGrid>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7.2.2</w:t>
            </w:r>
          </w:p>
        </w:tc>
        <w:tc>
          <w:tcPr>
            <w:tcW w:w="4727"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Selskabet indgår i en fusion, spaltning eller kapitalandelsombytning, der omfatter samtlige kapitalandele i Selskabet (oprettelse af et holdingselskab/apportindskud), er Selskabet berettiget, men ikke forpligtet til at anmode om, at Warrants erstattes med retten til at tegne kapitalandele i de(t) modtagende selskab(er), forudsat at de(t) fortsættende selskab(er) er enig heri.</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7.2.2</w:t>
            </w:r>
          </w:p>
        </w:tc>
        <w:tc>
          <w:tcPr>
            <w:tcW w:w="455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of contribution of the Company by merger, de-merger or an ex-change of shares which includes all shares in the Company (establishment of a holding company/non-cash contribution) the Company shall have the right, but not the obligation, to request that the Warrants are replaced by the right to subscribe to shares in the receiving company(ies) subject to written approval by the continuing company(ies).</w:t>
            </w:r>
          </w:p>
        </w:tc>
      </w:tr>
      <w:tr>
        <w:trPr/>
        <w:tc>
          <w:tcPr>
            <w:tcW w:w="44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72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553" w:type="dxa"/>
            <w:gridSpan w:val="2"/>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4727"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TEGNING AF KAPITALANDELE</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4553"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SUBSCRIPTION OF SHARES</w:t>
            </w:r>
          </w:p>
        </w:tc>
      </w:tr>
      <w:tr>
        <w:trPr/>
        <w:tc>
          <w:tcPr>
            <w:tcW w:w="440" w:type="dxa"/>
            <w:tcBorders/>
            <w:vAlign w:val="center"/>
          </w:tcPr>
          <w:p>
            <w:pPr>
              <w:pStyle w:val="TableContents"/>
              <w:bidi w:val="0"/>
              <w:spacing w:before="0" w:after="283"/>
              <w:jc w:val="left"/>
              <w:rPr/>
            </w:pPr>
            <w:r>
              <w:rPr/>
              <w:t> </w:t>
            </w:r>
          </w:p>
        </w:tc>
        <w:tc>
          <w:tcPr>
            <w:tcW w:w="472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553" w:type="dxa"/>
            <w:gridSpan w:val="2"/>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4727"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Ved udnyttelse af et hvilket som helst antal Warrants gælder følgende for tegning af nye kapitalandele:</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455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exercise of any part of the Warrants, the following will apply for the subscription of new shares:</w:t>
            </w:r>
          </w:p>
        </w:tc>
      </w:tr>
      <w:tr>
        <w:trPr/>
        <w:tc>
          <w:tcPr>
            <w:tcW w:w="440" w:type="dxa"/>
            <w:tcBorders/>
            <w:vAlign w:val="center"/>
          </w:tcPr>
          <w:p>
            <w:pPr>
              <w:pStyle w:val="TableContents"/>
              <w:bidi w:val="0"/>
              <w:spacing w:before="0" w:after="283"/>
              <w:jc w:val="left"/>
              <w:rPr/>
            </w:pPr>
            <w:r>
              <w:rPr/>
              <w:t> </w:t>
            </w:r>
          </w:p>
        </w:tc>
        <w:tc>
          <w:tcPr>
            <w:tcW w:w="472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553" w:type="dxa"/>
            <w:gridSpan w:val="2"/>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4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andre kapitalejere i Selskabet har ikke fortegningsret med hensyn til Warrants eller kapitalandele udstedt gennem udnyttelse af Warrants</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1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other shareholders of the Company have no pre-emption rights with respect to the Warrants or shares issued by exercise of the Warrants.</w:t>
            </w:r>
          </w:p>
        </w:tc>
      </w:tr>
    </w:tbl>
    <w:p>
      <w:pPr>
        <w:pStyle w:val="TextBody"/>
        <w:bidi w:val="0"/>
        <w:spacing w:before="0" w:after="0"/>
        <w:ind w:left="0" w:right="0" w:hanging="0"/>
        <w:jc w:val="left"/>
        <w:rPr>
          <w:caps w:val="false"/>
          <w:smallCaps w:val="false"/>
          <w:color w:val="424242"/>
        </w:rPr>
      </w:pPr>
      <w:r>
        <w:rPr>
          <w:caps w:val="false"/>
          <w:smallCaps w:val="false"/>
          <w:color w:val="424242"/>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424242"/>
        </w:rPr>
      </w:pPr>
      <w:r>
        <w:rPr>
          <w:caps w:val="false"/>
          <w:smallCaps w:val="false"/>
          <w:color w:val="424242"/>
        </w:rPr>
        <w:t> </w:t>
      </w:r>
    </w:p>
    <w:tbl>
      <w:tblPr>
        <w:tblW w:w="10205" w:type="dxa"/>
        <w:jc w:val="left"/>
        <w:tblInd w:w="0" w:type="dxa"/>
        <w:tblLayout w:type="fixed"/>
        <w:tblCellMar>
          <w:top w:w="0" w:type="dxa"/>
          <w:left w:w="0" w:type="dxa"/>
          <w:bottom w:w="0" w:type="dxa"/>
          <w:right w:w="0" w:type="dxa"/>
        </w:tblCellMar>
      </w:tblPr>
      <w:tblGrid>
        <w:gridCol w:w="75"/>
        <w:gridCol w:w="267"/>
        <w:gridCol w:w="4843"/>
        <w:gridCol w:w="60"/>
        <w:gridCol w:w="60"/>
        <w:gridCol w:w="267"/>
        <w:gridCol w:w="463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4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Betaling af tegningsbeløbet og tegning af kapitalandele skal finde sted samtidigt. Warrantindehaverens rettigheder som kapitalejer efter udnyttelse af samtlige Warrants eller en del heraf træder i kraft, når uigenkaldelig kontant betaling til Selskabet har fundet sted. Selskabet skal registrere Warrantindehaveren som kapitalejer i Selskabets ejerbog.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46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of the subscription amount and subscription of shares shall take place simultaneously. The Warrantee's rights as a shareholder following exercise of the Warrants or part thereof shall come into force when an irrevocable cash payment has been made to the Company. The Company shall register the Warrantee as a shareholder in the Company's share register.</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both"/>
              <w:rPr/>
            </w:pPr>
            <w:r>
              <w:rPr/>
              <w:t> </w:t>
            </w:r>
          </w:p>
        </w:tc>
        <w:tc>
          <w:tcPr>
            <w:tcW w:w="484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4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kapitalandele udstedes i kapitalandele à nominelt kr. 1 eller multipla heraf.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46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are issued in shares of nominally DKK 1 or multiples hereof.</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both"/>
              <w:rPr/>
            </w:pPr>
            <w:r>
              <w:rPr/>
              <w:t> </w:t>
            </w:r>
          </w:p>
        </w:tc>
        <w:tc>
          <w:tcPr>
            <w:tcW w:w="484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4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kapitalandele skal udstedes på navn, indføres i Selskabets ejerbog og er ikke-omsættelige.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46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are issued on name, shall be registered in the Company's share register and are non-negotiable shares.</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both"/>
              <w:rPr/>
            </w:pPr>
            <w:r>
              <w:rPr/>
              <w:t> </w:t>
            </w:r>
          </w:p>
        </w:tc>
        <w:tc>
          <w:tcPr>
            <w:tcW w:w="484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w:t>
            </w:r>
          </w:p>
        </w:tc>
        <w:tc>
          <w:tcPr>
            <w:tcW w:w="4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Restriktionerne på eksisterende kapitalandele vedrørende omsættelighed gælder også for de nye kapitalandele.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46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restrictions on the current shares as to negotiability shall also apply for the new shares.</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both"/>
              <w:rPr/>
            </w:pPr>
            <w:r>
              <w:rPr/>
              <w:t> </w:t>
            </w:r>
          </w:p>
        </w:tc>
        <w:tc>
          <w:tcPr>
            <w:tcW w:w="484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w:t>
            </w:r>
          </w:p>
        </w:tc>
        <w:tc>
          <w:tcPr>
            <w:tcW w:w="4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Fortegningsret for nye kapitalandele i forbindelse med fremtidige kapitalforhøjelser er begrænsede for så vidt angår udstedelse af warrants eller tegning af kapitalandele gennem udnyttelse af sådanne warrants eller ved andre begivenheder i henhold til generalforsamlingens beslutning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46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pre-emptive rights of the new shares in connection with future capital increases shall be limited in connection with the issuance of warrants or subscription of shares by exercising such warrants or other events as decided by the general meeting of the Company.</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both"/>
              <w:rPr/>
            </w:pPr>
            <w:r>
              <w:rPr/>
              <w:t> </w:t>
            </w:r>
          </w:p>
        </w:tc>
        <w:tc>
          <w:tcPr>
            <w:tcW w:w="484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424242"/>
        </w:rPr>
      </w:pPr>
      <w:r>
        <w:rPr>
          <w:caps w:val="false"/>
          <w:smallCaps w:val="false"/>
          <w:color w:val="424242"/>
        </w:rPr>
        <w:t> </w:t>
      </w:r>
    </w:p>
    <w:tbl>
      <w:tblPr>
        <w:tblW w:w="10205" w:type="dxa"/>
        <w:jc w:val="left"/>
        <w:tblInd w:w="0" w:type="dxa"/>
        <w:tblLayout w:type="fixed"/>
        <w:tblCellMar>
          <w:top w:w="0" w:type="dxa"/>
          <w:left w:w="0" w:type="dxa"/>
          <w:bottom w:w="0" w:type="dxa"/>
          <w:right w:w="0" w:type="dxa"/>
        </w:tblCellMar>
      </w:tblPr>
      <w:tblGrid>
        <w:gridCol w:w="290"/>
        <w:gridCol w:w="411"/>
        <w:gridCol w:w="4232"/>
        <w:gridCol w:w="60"/>
        <w:gridCol w:w="275"/>
        <w:gridCol w:w="419"/>
        <w:gridCol w:w="4518"/>
      </w:tblGrid>
      <w:tr>
        <w:trPr/>
        <w:tc>
          <w:tcPr>
            <w:tcW w:w="29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42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kapitalandele giver ret til dividende og andre rettigheder i Selskabet til enhver tid, når den relevante kapitalforhøjelse er registreret i Erhvervsstyrelsen.</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45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shall carry a right to dividend and other rights in the Company from the time when the relevant capital increase has been registered with the Danish Business Authority.</w:t>
            </w:r>
          </w:p>
        </w:tc>
      </w:tr>
      <w:tr>
        <w:trPr/>
        <w:tc>
          <w:tcPr>
            <w:tcW w:w="29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423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 </w:t>
            </w:r>
          </w:p>
        </w:tc>
        <w:tc>
          <w:tcPr>
            <w:tcW w:w="4518"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(viii)</w:t>
            </w:r>
          </w:p>
        </w:tc>
        <w:tc>
          <w:tcPr>
            <w:tcW w:w="42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betaler omkostningerne i forbindelse med udstedelse og udnyttelse af Warrants.</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(viii)</w:t>
            </w:r>
          </w:p>
        </w:tc>
        <w:tc>
          <w:tcPr>
            <w:tcW w:w="45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pay the costs in connection with the issuance and exercise of Warrants.</w:t>
            </w:r>
          </w:p>
        </w:tc>
      </w:tr>
      <w:tr>
        <w:trPr/>
        <w:tc>
          <w:tcPr>
            <w:tcW w:w="290"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4937" w:type="dxa"/>
            <w:gridSpan w:val="2"/>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4643"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SKAT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4937"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TAX</w:t>
            </w:r>
          </w:p>
        </w:tc>
      </w:tr>
      <w:tr>
        <w:trPr/>
        <w:tc>
          <w:tcPr>
            <w:tcW w:w="290"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4937" w:type="dxa"/>
            <w:gridSpan w:val="2"/>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464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Punkterne 9.2 - 9.4 finder anvendelse, hvis Warrantindehaveren er ansat i Selskabet: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4937"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Clauses 9.2 - 9.4 shall apply provided the Warrantee is an employee of the Company:</w:t>
            </w:r>
          </w:p>
        </w:tc>
      </w:tr>
      <w:tr>
        <w:trPr/>
        <w:tc>
          <w:tcPr>
            <w:tcW w:w="290"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4937" w:type="dxa"/>
            <w:gridSpan w:val="2"/>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464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er underlagt ligningslovens §7 P.</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4937"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shall be subject to Section 7 P of the Danish Tax Assessment Act.</w:t>
            </w:r>
          </w:p>
        </w:tc>
      </w:tr>
      <w:tr>
        <w:trPr/>
        <w:tc>
          <w:tcPr>
            <w:tcW w:w="290"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4937" w:type="dxa"/>
            <w:gridSpan w:val="2"/>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464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har vurderet værdien af de tildelte warrants til DKK 1.901 pr. stk. (før justering for fondsaktieudstedelse og aktiesplit af 4. januar 2021).</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4937"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assessed the value of each granted warrants as DKK 1,901 (before adjustment for bonus shares and share split of 4 January 2021).</w:t>
            </w:r>
          </w:p>
        </w:tc>
      </w:tr>
      <w:tr>
        <w:trPr/>
        <w:tc>
          <w:tcPr>
            <w:tcW w:w="290"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4937" w:type="dxa"/>
            <w:gridSpan w:val="2"/>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464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giver ikke Warrantindehaveren nogen garanti for, at Warrants beskattes efter ligningslovens § 7 P med eventuelle senere ændringer, herunder om kravene til anvendelse af bestemmelsen ikke er opfyldt, eller om bestemmelsen fremover er ændret eller ophævet.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4937"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does not make any guarantees to the Warrantee that the Warrantee will be subject to the tax treatment under Section 7 P of the Danish Tax Assessment Act, as amended from time to time, including whether the requirements for the application of the provision are not met or if the provision is altered or repealed in the future.</w:t>
            </w:r>
          </w:p>
        </w:tc>
      </w:tr>
    </w:tbl>
    <w:p>
      <w:pPr>
        <w:pStyle w:val="TextBody"/>
        <w:bidi w:val="0"/>
        <w:spacing w:before="0" w:after="0"/>
        <w:ind w:left="0" w:right="0" w:hanging="0"/>
        <w:jc w:val="left"/>
        <w:rPr>
          <w:caps w:val="false"/>
          <w:smallCaps w:val="false"/>
          <w:color w:val="424242"/>
        </w:rPr>
      </w:pPr>
      <w:r>
        <w:rPr>
          <w:caps w:val="false"/>
          <w:smallCaps w:val="false"/>
          <w:color w:val="424242"/>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424242"/>
        </w:rPr>
      </w:pPr>
      <w:r>
        <w:rPr>
          <w:caps w:val="false"/>
          <w:smallCaps w:val="false"/>
          <w:color w:val="424242"/>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95"/>
        <w:gridCol w:w="4759"/>
        <w:gridCol w:w="60"/>
        <w:gridCol w:w="380"/>
        <w:gridCol w:w="4611"/>
      </w:tblGrid>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9.5</w:t>
            </w:r>
          </w:p>
        </w:tc>
        <w:tc>
          <w:tcPr>
            <w:tcW w:w="47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skattemæssige konsekvenser for Warrantindehaveren i forbindelse med denne Aftale, herunder men ikke begrænset til erhvervelse og/eller tildeling af Warrants, og/eller skattemæssige konsekvenser i forbindelse med udnyttelse af Warrants, er Selskabet uvedkommende. Warrantindehaveren opfordres til at søge skattemæssig rådgivning i forbindelse med indgåelsen af denne Aftale.</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9.5</w:t>
            </w:r>
          </w:p>
        </w:tc>
        <w:tc>
          <w:tcPr>
            <w:tcW w:w="46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tax consequences for the Warrantee arising in connection with or out of this Agreement, including but not limited to the acquisition and/or granting of the Warrants and/or the tax consequences in connection with the exercise of the Warrants, are of no concern to the Company. The Warrantee is strongly encouraged to seek tax advice in connection with entering into this Agreement.</w:t>
            </w:r>
          </w:p>
        </w:tc>
      </w:tr>
      <w:tr>
        <w:trPr/>
        <w:tc>
          <w:tcPr>
            <w:tcW w:w="3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w:t>
            </w:r>
          </w:p>
        </w:tc>
        <w:tc>
          <w:tcPr>
            <w:tcW w:w="475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EJERAFTALE</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w:t>
            </w:r>
          </w:p>
        </w:tc>
        <w:tc>
          <w:tcPr>
            <w:tcW w:w="461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SHAREHOLDERS’ AGREEMENT</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4759" w:type="dxa"/>
            <w:tcBorders/>
            <w:vAlign w:val="center"/>
          </w:tcPr>
          <w:p>
            <w:pPr>
              <w:pStyle w:val="TableContents"/>
              <w:bidi w:val="0"/>
              <w:spacing w:before="0" w:after="283"/>
              <w:jc w:val="both"/>
              <w:rPr/>
            </w:pPr>
            <w:r>
              <w:rPr/>
              <w:t>Warrantindehaveren skal på tidspunktet for udnyttelse af Warrants tildelt i henhold til denne Aftale tiltræde og acceptere at være bundet af enhver ejeraftale, der gælder for kapitalejere i Selskabet til enhver tid ved at underskrive en tiltrædelseserklæring til en sådan ejeraftale. Warrantindehaveren tiltræder og accepterer, at en sådan ejeraftale kan indeholde betingelser, der alene gælder for Warrantindehaveren og ikke for de andre kapitalejere i Selskabet. Således har ikke alle kapitalejere i Selskabet de samme rettigheder i henhold til ejeraftalen. En sådan tiltrædelseserklæring skal underskrives senest på tidspunktet for udnyttelse af Warrants, og udnyttelsen af Warrants skal være betinget heraf.</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4611" w:type="dxa"/>
            <w:tcBorders/>
            <w:vAlign w:val="center"/>
          </w:tcPr>
          <w:p>
            <w:pPr>
              <w:pStyle w:val="TableContents"/>
              <w:bidi w:val="0"/>
              <w:jc w:val="both"/>
              <w:rPr/>
            </w:pPr>
            <w:r>
              <w:rPr/>
              <w:t>The Warrantee shall at the time of exercise of the Warrants granted hereunder endorse and agree to be bound by any Shareholders' Agreement applicable to the shareholders of the Company from time to time by signing a deed of adherence to such Shareholders' Agreement. The Warrantee acknowledges and accepts that such Shareholders Agreement may include terms only applicable on the Warrantee and not on the other shareholders of the Company. Thus, not all shareholders of the Company may have the same rights under the Shareholders Agreement. Such deed of adherence shall be signed no later than at the time of the exercise of the Warrants and the exercise of any Warrants shall be conditional hereupon.</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5315"/>
        <w:gridCol w:w="60"/>
        <w:gridCol w:w="380"/>
        <w:gridCol w:w="4055"/>
      </w:tblGrid>
      <w:tr>
        <w:trPr/>
        <w:tc>
          <w:tcPr>
            <w:tcW w:w="3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11</w:t>
            </w:r>
          </w:p>
        </w:tc>
        <w:tc>
          <w:tcPr>
            <w:tcW w:w="53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OVERDRAGELSE AF WARRANTS</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11.</w:t>
            </w:r>
          </w:p>
        </w:tc>
        <w:tc>
          <w:tcPr>
            <w:tcW w:w="40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ASSIGNMENT OF WARRANTS</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11.1</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og andre rettigheder og/eller forpligtelser af Warrantindehaveren i henhold til denne Aftale må ikke være genstand for udlæg (pant, sikkerhed eller lignende), erhverves eller på anden måde overdrages af Warrantindehaveren.</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11.1</w:t>
            </w:r>
          </w:p>
        </w:tc>
        <w:tc>
          <w:tcPr>
            <w:tcW w:w="4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and any other rights and/or obligations granted to the Warrantee under this Agreement cannot be subject to any encumbrance (as pledge, security or similar), assignment or in any other way be transferred by the Warrantee.</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Uanset det anførte under punkt 11.1 kan overdragelse i tilfælde af Warrantindehaverens død finde sted til Warrantindehaverens bo og/eller hans/hendes arvinger.</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w:t>
            </w:r>
          </w:p>
        </w:tc>
        <w:tc>
          <w:tcPr>
            <w:tcW w:w="4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Clause 11.1, assignment to the estate left by the Warrantee and/or to his/her heir/heiress in the event of death shall be allowed.</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11.3</w:t>
            </w:r>
          </w:p>
        </w:tc>
        <w:tc>
          <w:tcPr>
            <w:tcW w:w="5315" w:type="dxa"/>
            <w:tcBorders/>
            <w:vAlign w:val="center"/>
          </w:tcPr>
          <w:p>
            <w:pPr>
              <w:pStyle w:val="TableContents"/>
              <w:bidi w:val="0"/>
              <w:spacing w:before="0" w:after="283"/>
              <w:jc w:val="both"/>
              <w:rPr/>
            </w:pPr>
            <w:r>
              <w:rPr/>
              <w:t>Uanset det anførte under punkt 11.1 må Warrantindehaverens kapitalandele henholdsvis Warrants, herunder kapitalandele erhvervet gennem udnyttelse af Warrants, ikke være genstand for inkassoprocedurer, fogedforretninger eller anden form for fuldbyrdelse og må heller ikke bruges som pant over for tredjepart. Warrantindehaveren har dog ved forudgående skriftlig tilladelse fra Selskabets Bestyrelse ret til at bruge kapitalandele og warrants som pant i forbindelse med finansiering af køb af sådanne kapitalandele og warrants, hvis panthaver forud for pantsætningen skriftligt bekræfter at ville respektere denne Aftale.</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11.3</w:t>
            </w:r>
          </w:p>
        </w:tc>
        <w:tc>
          <w:tcPr>
            <w:tcW w:w="4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Clause 11.1, the Warrantee’s shares and Warrants (as applicable), including shares acquired by the exercise of Warrants, are not to be subjected to debt collection proceedings, creditor enforcement or any other type of enforcement, nor are they to be pledged to any third party. However, subject to prior written approval from the board of the Company the Warrantee shall be entitled to pledge shares and warrants in connection with the funding of the purchase of such shares and warrants if the pledgee prior to the pledge accepts in writing to respect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5181"/>
        <w:gridCol w:w="60"/>
        <w:gridCol w:w="380"/>
        <w:gridCol w:w="4189"/>
      </w:tblGrid>
      <w:tr>
        <w:trPr/>
        <w:tc>
          <w:tcPr>
            <w:tcW w:w="3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12</w:t>
            </w:r>
          </w:p>
        </w:tc>
        <w:tc>
          <w:tcPr>
            <w:tcW w:w="518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AFKALD</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12.</w:t>
            </w:r>
          </w:p>
        </w:tc>
        <w:tc>
          <w:tcPr>
            <w:tcW w:w="418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WAIVER</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12.1</w:t>
            </w:r>
          </w:p>
        </w:tc>
        <w:tc>
          <w:tcPr>
            <w:tcW w:w="51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 garanterer ikke at ville påberåbe sig eller på anden måde benytte sig af minoritetsbeskyttelsesreglen i henhold Selskabsloven, herunder § 73, ifølge hvilken en minoritetskapitalejer kan fordre sine kapitalandele indløst af en kapitalejer, der ejer mere end ni tiendedele af kapitalandelene (indløsningsret).</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12.1</w:t>
            </w:r>
          </w:p>
        </w:tc>
        <w:tc>
          <w:tcPr>
            <w:tcW w:w="41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Warrantee undertakes not to invoke or otherwise rely upon the minority protection rule available under the Danish Companies Act, including Clause 73, stipulating the right to require a shareholder holding more than nine-tenths of the shares to acquire the shares of any minority shareholder (in Danish: “indløsningsret”).</w:t>
            </w:r>
          </w:p>
        </w:tc>
      </w:tr>
      <w:tr>
        <w:trPr/>
        <w:tc>
          <w:tcPr>
            <w:tcW w:w="3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13</w:t>
            </w:r>
          </w:p>
        </w:tc>
        <w:tc>
          <w:tcPr>
            <w:tcW w:w="518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PANTSÆTNING AF KAPITALANDELE</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13.</w:t>
            </w:r>
          </w:p>
        </w:tc>
        <w:tc>
          <w:tcPr>
            <w:tcW w:w="418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PLEDGE OF SHARES</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13.1</w:t>
            </w:r>
          </w:p>
        </w:tc>
        <w:tc>
          <w:tcPr>
            <w:tcW w:w="5181" w:type="dxa"/>
            <w:tcBorders/>
            <w:vAlign w:val="center"/>
          </w:tcPr>
          <w:p>
            <w:pPr>
              <w:pStyle w:val="TableContents"/>
              <w:bidi w:val="0"/>
              <w:spacing w:before="0" w:after="283"/>
              <w:jc w:val="both"/>
              <w:rPr/>
            </w:pPr>
            <w:r>
              <w:rPr/>
              <w:t>Warrantindehaveren forpligter sig herved at pantsætte kapitalandele i Selskabet tegnet gennem udnyttelse af Warrants (herunder eventuelle stemmerettigheder) til de andre kapitalejere i Selskabet som sikkerhed for (i) opfyldelse af Warrantindehaverens forpligtelser i henhold til Aftalen og (ii) opfyldelse af Warrantindehaverens forpligtelser i henhold til ejeraftale, der er gældende for Warrantindehaverens kapitalandele i Selskabet.</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13.1</w:t>
            </w:r>
          </w:p>
        </w:tc>
        <w:tc>
          <w:tcPr>
            <w:tcW w:w="4189" w:type="dxa"/>
            <w:tcBorders/>
            <w:vAlign w:val="center"/>
          </w:tcPr>
          <w:p>
            <w:pPr>
              <w:pStyle w:val="TableContents"/>
              <w:bidi w:val="0"/>
              <w:spacing w:before="0" w:after="283"/>
              <w:jc w:val="both"/>
              <w:rPr/>
            </w:pPr>
            <w:r>
              <w:rPr/>
              <w:t>The Warrantee hereby undertakes to pledge any shares in the Company subscribed for by exercise of any Warrants (including voting rights (if any)) to the other shareholders of the Company as security for (i) the fulfilment of the Warrantee's obligations under this Agreement and (ii) the fulfilment of the Warrantee's obligations under any Shareholders' Agreement governing the shares in the Company held by the Warrantee.</w:t>
            </w:r>
          </w:p>
        </w:tc>
      </w:tr>
      <w:tr>
        <w:trPr/>
        <w:tc>
          <w:tcPr>
            <w:tcW w:w="3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14</w:t>
            </w:r>
          </w:p>
        </w:tc>
        <w:tc>
          <w:tcPr>
            <w:tcW w:w="518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FULDMAGT</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14.</w:t>
            </w:r>
          </w:p>
        </w:tc>
        <w:tc>
          <w:tcPr>
            <w:tcW w:w="418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POWER OF ATTORNEY</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14.1</w:t>
            </w:r>
          </w:p>
        </w:tc>
        <w:tc>
          <w:tcPr>
            <w:tcW w:w="51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Warrantindehaveren giver hermed Selskabets Bestyrelse fuldmagt til på Warrantindehaverens vegne at iværksætte enhver foranstaltning, der måtte være nødvendig til opfyldelse af denne Aftale.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14.1</w:t>
            </w:r>
          </w:p>
        </w:tc>
        <w:tc>
          <w:tcPr>
            <w:tcW w:w="41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Warrantee hereby grants the Board power of attorney to undertake any necessary actions on behalf of the Warrantee to ensure fulfilment of this Agreement.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4670"/>
        <w:gridCol w:w="60"/>
        <w:gridCol w:w="380"/>
        <w:gridCol w:w="4700"/>
      </w:tblGrid>
      <w:tr>
        <w:trPr/>
        <w:tc>
          <w:tcPr>
            <w:tcW w:w="3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15</w:t>
            </w:r>
          </w:p>
        </w:tc>
        <w:tc>
          <w:tcPr>
            <w:tcW w:w="46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TAVSHEDSPLIGT</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15.</w:t>
            </w:r>
          </w:p>
        </w:tc>
        <w:tc>
          <w:tcPr>
            <w:tcW w:w="47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CONFIDENTIALITY</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15.1</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Parterne forpligter sig til at behandle indholdet af denne Aftale og betingelserne for Aftalen fortroligt. En Part er berettiget til at fremlægge betingelserne i denne Aftale på skriftlig opfordring fra en offentlig myndighed, som har en lovlig ret til at kræve sådanne oplysninger, eller hvis en sådan fremlæggelse udspringer af lovgivningen.</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15.1</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Parties undertake to treat the content of this Agreement and its terms and conditions confidential. A Party shall be entitled to disclose the terms and conditions of this Agreement upon written request from a public authority that has a legal right to require this information or if such disclosure follows from statutory law.</w:t>
            </w:r>
          </w:p>
        </w:tc>
      </w:tr>
      <w:tr>
        <w:trPr/>
        <w:tc>
          <w:tcPr>
            <w:tcW w:w="3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16</w:t>
            </w:r>
          </w:p>
        </w:tc>
        <w:tc>
          <w:tcPr>
            <w:tcW w:w="46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LOVVALG</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16.</w:t>
            </w:r>
          </w:p>
        </w:tc>
        <w:tc>
          <w:tcPr>
            <w:tcW w:w="4700" w:type="dxa"/>
            <w:tcBorders/>
            <w:vAlign w:val="center"/>
          </w:tcPr>
          <w:p>
            <w:pPr>
              <w:pStyle w:val="TableContents"/>
              <w:bidi w:val="0"/>
              <w:spacing w:before="0" w:after="283"/>
              <w:jc w:val="both"/>
              <w:rPr/>
            </w:pPr>
            <w:r>
              <w:rPr/>
              <w:t> </w:t>
            </w:r>
            <w:r>
              <w:rPr>
                <w:rFonts w:ascii="Times New Roman;Times;Serif" w:hAnsi="Times New Roman;Times;Serif"/>
                <w:b/>
                <w:sz w:val="20"/>
              </w:rPr>
              <w:t>GOVERNING LAW</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16.1</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Denne Aftale er underlagt dansk ret.</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16.1</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Agreement shall be governed by the laws of Denmark.</w:t>
            </w:r>
          </w:p>
        </w:tc>
      </w:tr>
      <w:tr>
        <w:trPr/>
        <w:tc>
          <w:tcPr>
            <w:tcW w:w="3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17</w:t>
            </w:r>
          </w:p>
        </w:tc>
        <w:tc>
          <w:tcPr>
            <w:tcW w:w="46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VISTER</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17.</w:t>
            </w:r>
          </w:p>
        </w:tc>
        <w:tc>
          <w:tcPr>
            <w:tcW w:w="4700" w:type="dxa"/>
            <w:tcBorders/>
            <w:vAlign w:val="center"/>
          </w:tcPr>
          <w:p>
            <w:pPr>
              <w:pStyle w:val="TableContents"/>
              <w:bidi w:val="0"/>
              <w:spacing w:before="0" w:after="283"/>
              <w:jc w:val="both"/>
              <w:rPr/>
            </w:pPr>
            <w:r>
              <w:rPr/>
              <w:t> </w:t>
            </w:r>
            <w:r>
              <w:rPr>
                <w:rFonts w:ascii="Times New Roman;Times;Serif" w:hAnsi="Times New Roman;Times;Serif"/>
                <w:b/>
                <w:sz w:val="20"/>
              </w:rPr>
              <w:t>DISPUTES</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17.1</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Enhver tvist mellem Parterne, der måtte udspringe af Aftalen, herunder dens indgåelse eller ophør, skal først søges afgjort ved forhandling. Kan Parterne ikke nå til enighed, afgøres tvisten ved de danske domstole i København.</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17.1</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Parties shall primarily seek to amicably settle any dispute arising out of or in connection with this Agreement, including its conclusion or termination. If the Parties cannot reach an agreement, the dispute shall be settled by the Danish courts in Copenhagen.</w:t>
            </w:r>
          </w:p>
        </w:tc>
      </w:tr>
      <w:tr>
        <w:trPr/>
        <w:tc>
          <w:tcPr>
            <w:tcW w:w="3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18</w:t>
            </w:r>
          </w:p>
        </w:tc>
        <w:tc>
          <w:tcPr>
            <w:tcW w:w="46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UNDERSKRIFT, HELE AFTALEN OG ÆNDRINGER HERTIL</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18.</w:t>
            </w:r>
          </w:p>
        </w:tc>
        <w:tc>
          <w:tcPr>
            <w:tcW w:w="47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SIGNATURES, ENTIRE AGREEMENT, AND AMENDMENTS</w:t>
            </w:r>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18.1</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Denne Aftale er udfærdiget i to eksemplarer, hvoraf det ene underskrevne eksemplar forbliver hos Selskabet, mens det andet underskrevne eksemplar udleveres til Warrantindehaveren. Aftalen træder i kraft på datoen for underskrivelsen.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18.1</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This Agreement is signed in two copies; one shall be held by the Company and the other by the Warrantee. The Agreement shall be in force from the date of signing.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4771"/>
        <w:gridCol w:w="60"/>
        <w:gridCol w:w="380"/>
        <w:gridCol w:w="4599"/>
      </w:tblGrid>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18.2</w:t>
            </w:r>
          </w:p>
        </w:tc>
        <w:tc>
          <w:tcPr>
            <w:tcW w:w="47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Alle meddelelser eller lignende i henhold til eller i forbindelse med Aftalen skal foretages skriftligt fra den ene Part til den anden.</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18.2</w:t>
            </w:r>
          </w:p>
        </w:tc>
        <w:tc>
          <w:tcPr>
            <w:tcW w:w="45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All notifications, demands or similar pursuant to or relating to this Agreement shall be made in writing to the other Party. </w:t>
            </w:r>
          </w:p>
        </w:tc>
      </w:tr>
      <w:tr>
        <w:trPr/>
        <w:tc>
          <w:tcPr>
            <w:tcW w:w="395" w:type="dxa"/>
            <w:tcBorders/>
            <w:vAlign w:val="center"/>
          </w:tcPr>
          <w:p>
            <w:pPr>
              <w:pStyle w:val="TableContents"/>
              <w:bidi w:val="0"/>
              <w:spacing w:before="0" w:after="283"/>
              <w:jc w:val="both"/>
              <w:rPr/>
            </w:pPr>
            <w:r>
              <w:rPr/>
              <w:t> </w:t>
            </w:r>
          </w:p>
        </w:tc>
        <w:tc>
          <w:tcPr>
            <w:tcW w:w="47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- 0 -</w:t>
            </w:r>
          </w:p>
        </w:tc>
        <w:tc>
          <w:tcPr>
            <w:tcW w:w="6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pPr>
            <w:r>
              <w:rPr/>
              <w:t> </w:t>
            </w:r>
          </w:p>
        </w:tc>
        <w:tc>
          <w:tcPr>
            <w:tcW w:w="45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- 0 -</w:t>
            </w:r>
          </w:p>
        </w:tc>
      </w:tr>
    </w:tbl>
    <w:p>
      <w:pPr>
        <w:pStyle w:val="TextBody"/>
        <w:bidi w:val="0"/>
        <w:spacing w:before="0" w:after="0"/>
        <w:ind w:left="0" w:right="0" w:hanging="0"/>
        <w:jc w:val="both"/>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3455"/>
        <w:gridCol w:w="60"/>
        <w:gridCol w:w="3545"/>
      </w:tblGrid>
      <w:tr>
        <w:trPr/>
        <w:tc>
          <w:tcPr>
            <w:tcW w:w="3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og på vegne af Evaxion Biotech ApS: </w:t>
            </w:r>
          </w:p>
        </w:tc>
        <w:tc>
          <w:tcPr>
            <w:tcW w:w="60" w:type="dxa"/>
            <w:tcBorders/>
            <w:vAlign w:val="center"/>
          </w:tcPr>
          <w:p>
            <w:pPr>
              <w:pStyle w:val="TableContents"/>
              <w:bidi w:val="0"/>
              <w:spacing w:before="0" w:after="283"/>
              <w:jc w:val="both"/>
              <w:rPr/>
            </w:pPr>
            <w:r>
              <w:rPr/>
              <w:t> </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and on behalf of Evaxion Biotech ApS:</w:t>
            </w:r>
          </w:p>
        </w:tc>
      </w:tr>
      <w:tr>
        <w:trPr/>
        <w:tc>
          <w:tcPr>
            <w:tcW w:w="34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545" w:type="dxa"/>
            <w:tcBorders/>
            <w:vAlign w:val="center"/>
          </w:tcPr>
          <w:p>
            <w:pPr>
              <w:pStyle w:val="TableContents"/>
              <w:bidi w:val="0"/>
              <w:spacing w:before="0" w:after="283"/>
              <w:jc w:val="both"/>
              <w:rPr/>
            </w:pPr>
            <w:r>
              <w:rPr/>
              <w:t> </w:t>
            </w:r>
          </w:p>
        </w:tc>
      </w:tr>
      <w:tr>
        <w:trPr/>
        <w:tc>
          <w:tcPr>
            <w:tcW w:w="3455"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54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Navn: Lars Staal Wegner </w:t>
            </w:r>
          </w:p>
        </w:tc>
        <w:tc>
          <w:tcPr>
            <w:tcW w:w="60" w:type="dxa"/>
            <w:tcBorders/>
            <w:vAlign w:val="center"/>
          </w:tcPr>
          <w:p>
            <w:pPr>
              <w:pStyle w:val="TableContents"/>
              <w:bidi w:val="0"/>
              <w:spacing w:before="0" w:after="283"/>
              <w:jc w:val="both"/>
              <w:rPr/>
            </w:pPr>
            <w:r>
              <w:rPr/>
              <w:t> </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Lars Staal Wegner</w:t>
            </w:r>
          </w:p>
        </w:tc>
      </w:tr>
      <w:tr>
        <w:trPr/>
        <w:tc>
          <w:tcPr>
            <w:tcW w:w="34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545" w:type="dxa"/>
            <w:tcBorders/>
            <w:vAlign w:val="center"/>
          </w:tcPr>
          <w:p>
            <w:pPr>
              <w:pStyle w:val="TableContents"/>
              <w:bidi w:val="0"/>
              <w:spacing w:before="0" w:after="283"/>
              <w:jc w:val="both"/>
              <w:rPr/>
            </w:pPr>
            <w:r>
              <w:rPr/>
              <w:t> </w:t>
            </w:r>
          </w:p>
        </w:tc>
      </w:tr>
      <w:tr>
        <w:trPr/>
        <w:tc>
          <w:tcPr>
            <w:tcW w:w="3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Titel: CEO </w:t>
            </w:r>
          </w:p>
        </w:tc>
        <w:tc>
          <w:tcPr>
            <w:tcW w:w="60" w:type="dxa"/>
            <w:tcBorders/>
            <w:vAlign w:val="center"/>
          </w:tcPr>
          <w:p>
            <w:pPr>
              <w:pStyle w:val="TableContents"/>
              <w:bidi w:val="0"/>
              <w:spacing w:before="0" w:after="283"/>
              <w:jc w:val="both"/>
              <w:rPr/>
            </w:pPr>
            <w:r>
              <w:rPr/>
              <w:t> </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CEO</w:t>
            </w:r>
          </w:p>
        </w:tc>
      </w:tr>
      <w:tr>
        <w:trPr/>
        <w:tc>
          <w:tcPr>
            <w:tcW w:w="34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545" w:type="dxa"/>
            <w:tcBorders/>
            <w:vAlign w:val="center"/>
          </w:tcPr>
          <w:p>
            <w:pPr>
              <w:pStyle w:val="TableContents"/>
              <w:bidi w:val="0"/>
              <w:spacing w:before="0" w:after="283"/>
              <w:jc w:val="both"/>
              <w:rPr/>
            </w:pPr>
            <w:r>
              <w:rPr/>
              <w:t> </w:t>
            </w:r>
          </w:p>
        </w:tc>
      </w:tr>
      <w:tr>
        <w:trPr/>
        <w:tc>
          <w:tcPr>
            <w:tcW w:w="34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545" w:type="dxa"/>
            <w:tcBorders/>
            <w:vAlign w:val="center"/>
          </w:tcPr>
          <w:p>
            <w:pPr>
              <w:pStyle w:val="TableContents"/>
              <w:bidi w:val="0"/>
              <w:spacing w:before="0" w:after="283"/>
              <w:jc w:val="both"/>
              <w:rPr/>
            </w:pPr>
            <w:r>
              <w:rPr/>
              <w:t> </w:t>
            </w:r>
          </w:p>
        </w:tc>
      </w:tr>
      <w:tr>
        <w:trPr/>
        <w:tc>
          <w:tcPr>
            <w:tcW w:w="3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w:t>
            </w:r>
            <w:r>
              <w:rPr>
                <w:rFonts w:ascii="Times New Roman;Times;Serif" w:hAnsi="Times New Roman;Times;Serif"/>
                <w:b/>
                <w:sz w:val="20"/>
              </w:rPr>
              <w:t>[the Warantee]:</w:t>
            </w:r>
            <w:r>
              <w:rPr>
                <w:rFonts w:ascii="Times New Roman;Times;Serif" w:hAnsi="Times New Roman;Times;Serif"/>
                <w:sz w:val="20"/>
              </w:rPr>
              <w:t xml:space="preserve"> </w:t>
            </w:r>
          </w:p>
        </w:tc>
        <w:tc>
          <w:tcPr>
            <w:tcW w:w="60" w:type="dxa"/>
            <w:tcBorders/>
            <w:vAlign w:val="center"/>
          </w:tcPr>
          <w:p>
            <w:pPr>
              <w:pStyle w:val="TableContents"/>
              <w:bidi w:val="0"/>
              <w:spacing w:before="0" w:after="283"/>
              <w:jc w:val="both"/>
              <w:rPr/>
            </w:pPr>
            <w:r>
              <w:rPr/>
              <w:t> </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w:t>
            </w:r>
            <w:r>
              <w:rPr>
                <w:rFonts w:ascii="Times New Roman;Times;Serif" w:hAnsi="Times New Roman;Times;Serif"/>
                <w:b/>
                <w:sz w:val="20"/>
              </w:rPr>
              <w:t>[the Warantee]:</w:t>
            </w:r>
          </w:p>
        </w:tc>
      </w:tr>
      <w:tr>
        <w:trPr/>
        <w:tc>
          <w:tcPr>
            <w:tcW w:w="34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545" w:type="dxa"/>
            <w:tcBorders/>
            <w:vAlign w:val="center"/>
          </w:tcPr>
          <w:p>
            <w:pPr>
              <w:pStyle w:val="TableContents"/>
              <w:bidi w:val="0"/>
              <w:spacing w:before="0" w:after="283"/>
              <w:jc w:val="both"/>
              <w:rPr/>
            </w:pPr>
            <w:r>
              <w:rPr/>
              <w:t> </w:t>
            </w:r>
          </w:p>
        </w:tc>
      </w:tr>
      <w:tr>
        <w:trPr/>
        <w:tc>
          <w:tcPr>
            <w:tcW w:w="3455"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54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Navn:</w:t>
            </w:r>
          </w:p>
        </w:tc>
        <w:tc>
          <w:tcPr>
            <w:tcW w:w="60" w:type="dxa"/>
            <w:tcBorders/>
            <w:vAlign w:val="center"/>
          </w:tcPr>
          <w:p>
            <w:pPr>
              <w:pStyle w:val="TableContents"/>
              <w:bidi w:val="0"/>
              <w:spacing w:before="0" w:after="283"/>
              <w:jc w:val="both"/>
              <w:rPr/>
            </w:pPr>
            <w:r>
              <w:rPr/>
              <w:t> </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r>
      <w:tr>
        <w:trPr/>
        <w:tc>
          <w:tcPr>
            <w:tcW w:w="3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Titel:</w:t>
            </w:r>
          </w:p>
        </w:tc>
        <w:tc>
          <w:tcPr>
            <w:tcW w:w="60" w:type="dxa"/>
            <w:tcBorders/>
            <w:vAlign w:val="center"/>
          </w:tcPr>
          <w:p>
            <w:pPr>
              <w:pStyle w:val="TableContents"/>
              <w:bidi w:val="0"/>
              <w:spacing w:before="0" w:after="283"/>
              <w:jc w:val="both"/>
              <w:rPr/>
            </w:pPr>
            <w:r>
              <w:rPr/>
              <w:t> </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Evaxion Biotech 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RESOLUTION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1.1</w:t>
            </w:r>
          </w:p>
        </w:tc>
        <w:tc>
          <w:tcPr>
            <w:tcW w:w="9847" w:type="dxa"/>
            <w:tcBorders/>
            <w:vAlign w:val="center"/>
          </w:tcPr>
          <w:p>
            <w:pPr>
              <w:pStyle w:val="TableContents"/>
              <w:bidi w:val="0"/>
              <w:spacing w:before="0" w:after="283"/>
              <w:jc w:val="both"/>
              <w:rPr/>
            </w:pPr>
            <w:r>
              <w:rPr/>
              <w:t>The Board of Directors has on 17 December 2020, pursuant to the authorisation set out in article 2.8 of Evaxion Biotech A/S’s (the “Company”) articles of association, determined that the following terms and conditions (the “Warrant Terms”) shall apply to warrants (the “Warrants”) issued to the European Investment Bank (the “Warrant Holder”) according to the authorisation.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ISSUE OF WARRANTS AND WARRANT CONSIDERATION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2.1</w:t>
            </w:r>
          </w:p>
        </w:tc>
        <w:tc>
          <w:tcPr>
            <w:tcW w:w="9848" w:type="dxa"/>
            <w:tcBorders/>
            <w:vAlign w:val="center"/>
          </w:tcPr>
          <w:p>
            <w:pPr>
              <w:pStyle w:val="TableContents"/>
              <w:bidi w:val="0"/>
              <w:spacing w:before="0" w:after="283"/>
              <w:jc w:val="both"/>
              <w:rPr/>
            </w:pPr>
            <w:r>
              <w:rPr/>
              <w:t>The Warrants are issued to the Warrant Holder in connection with the disbursement of loans according to the loan facility entered into between the Warrant Holder and the Company. In connection with each issuance of Warrants the Warrant Holder shall sign a warrant certificate (the “Warrant Certificate”). Warrants are issued free of charge, without payment of any kind from the Warrant Holder.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2.2</w:t>
            </w:r>
          </w:p>
        </w:tc>
        <w:tc>
          <w:tcPr>
            <w:tcW w:w="9848" w:type="dxa"/>
            <w:tcBorders/>
            <w:vAlign w:val="center"/>
          </w:tcPr>
          <w:p>
            <w:pPr>
              <w:pStyle w:val="TableContents"/>
              <w:bidi w:val="0"/>
              <w:spacing w:before="0" w:after="283"/>
              <w:jc w:val="both"/>
              <w:rPr/>
            </w:pPr>
            <w:r>
              <w:rPr/>
              <w:t>The Warrants and any shares subscribed for upon the exercise of the Warrants shall be issued without pre-emptive subscription rights for the Company’s shareholders in accordance with the resolution referred to in paragraph 1.1 above.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2.3</w:t>
            </w:r>
          </w:p>
        </w:tc>
        <w:tc>
          <w:tcPr>
            <w:tcW w:w="9848" w:type="dxa"/>
            <w:tcBorders/>
            <w:vAlign w:val="center"/>
          </w:tcPr>
          <w:p>
            <w:pPr>
              <w:pStyle w:val="TableContents"/>
              <w:bidi w:val="0"/>
              <w:spacing w:before="0" w:after="283"/>
              <w:jc w:val="both"/>
              <w:rPr/>
            </w:pPr>
            <w:r>
              <w:rPr/>
              <w:t>The Company will, along with the Company’s register of shareholders, keep a list of the issued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EXERCISE OF WARRANTS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3.1</w:t>
            </w:r>
          </w:p>
        </w:tc>
        <w:tc>
          <w:tcPr>
            <w:tcW w:w="9848" w:type="dxa"/>
            <w:tcBorders/>
            <w:vAlign w:val="center"/>
          </w:tcPr>
          <w:p>
            <w:pPr>
              <w:pStyle w:val="TableContents"/>
              <w:bidi w:val="0"/>
              <w:spacing w:before="0" w:after="283"/>
              <w:jc w:val="both"/>
              <w:rPr/>
            </w:pPr>
            <w:r>
              <w:rPr/>
              <w:t>Each Warrant may be exercised against payment of a subscription price in cash to the Company of DKK 1 per share of a nominal value of DKK 1 (the “Exercise Price”), subject, however, to the adjustment mechanisms set forth in clause 5.</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3.2</w:t>
            </w:r>
          </w:p>
        </w:tc>
        <w:tc>
          <w:tcPr>
            <w:tcW w:w="9848" w:type="dxa"/>
            <w:tcBorders/>
            <w:vAlign w:val="center"/>
          </w:tcPr>
          <w:p>
            <w:pPr>
              <w:pStyle w:val="TableContents"/>
              <w:bidi w:val="0"/>
              <w:spacing w:before="0" w:after="283"/>
              <w:jc w:val="both"/>
              <w:rPr/>
            </w:pPr>
            <w:r>
              <w:rPr/>
              <w:t>As an alternative to receiving shares in the Company, the Warrant Holder has the right to require that the Company satisfy the exercise of the Warrants by way of net settlement.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3.3</w:t>
            </w:r>
          </w:p>
        </w:tc>
        <w:tc>
          <w:tcPr>
            <w:tcW w:w="9848" w:type="dxa"/>
            <w:tcBorders/>
            <w:vAlign w:val="center"/>
          </w:tcPr>
          <w:p>
            <w:pPr>
              <w:pStyle w:val="TableContents"/>
              <w:bidi w:val="0"/>
              <w:spacing w:before="0" w:after="283"/>
              <w:jc w:val="both"/>
              <w:rPr/>
            </w:pPr>
            <w:r>
              <w:rPr/>
              <w:t>The Warrant Holder is entitled to exercise the Warrants in full or in part at any time. Unexercised Warrants shall remain in the Warrant Holder’s possession and shall not expire and lapse.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3.4</w:t>
            </w:r>
          </w:p>
        </w:tc>
        <w:tc>
          <w:tcPr>
            <w:tcW w:w="9848" w:type="dxa"/>
            <w:tcBorders/>
            <w:vAlign w:val="center"/>
          </w:tcPr>
          <w:p>
            <w:pPr>
              <w:pStyle w:val="TableContents"/>
              <w:bidi w:val="0"/>
              <w:spacing w:before="0" w:after="283"/>
              <w:jc w:val="both"/>
              <w:rPr/>
            </w:pPr>
            <w:r>
              <w:rPr/>
              <w:t>The Warrant Holder agrees and accepts to be bound by a customary lock-up agreement in the event of an IPO according to which Warrants may not be exercised/or settled for cash within 180 days from the date of completion of an initial public offering and official listing of shares of the Company (or the shares in any company or vehicle created by the Company’s shareholders for such purpose) on a stock exchange or regulated market, including but not limited to a listing of American Depositary Shares (ADS’) in the United States (here and elsewhere in this document referred to as an “IPO”). Following an IPO clause 7.1 (f) shall cease to be of effective and shall become null and void. Additionally, the Warrant Holder agrees not to exercise the Warrants and/or claim settlement for a period of one (1) month following the first public filing of the prospectus relating to an IPO. In no event shall the aggregate lock-up period exceed 180 days from the date of completion of the IPO.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3.6</w:t>
            </w:r>
          </w:p>
        </w:tc>
        <w:tc>
          <w:tcPr>
            <w:tcW w:w="9848" w:type="dxa"/>
            <w:tcBorders/>
            <w:vAlign w:val="center"/>
          </w:tcPr>
          <w:p>
            <w:pPr>
              <w:pStyle w:val="TableContents"/>
              <w:bidi w:val="0"/>
              <w:spacing w:before="0" w:after="283"/>
              <w:jc w:val="both"/>
              <w:rPr/>
            </w:pPr>
            <w:r>
              <w:rPr/>
              <w:t>The Parties agree that the lock-up agreement as set out in clause 3.4 shall cease to be effective and shall become null and void in the event that there is a materially adverse event relating to the Company and thereby affecting the Company in a materially adverse manner during the lock-up period described in clause 3.4, including but not limited to if the Company or its management is subject to a criminal investigation or is involved in any kind of fraudulent activities, money laundering activities, terror financing tax evasion and tax havens. The definition of a materially adverse event shall be determined according to ordinary principles of Danish law taking into account specifically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PROCEDURE FOR EXERCISE OF WARRANTS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4.1</w:t>
            </w:r>
          </w:p>
        </w:tc>
        <w:tc>
          <w:tcPr>
            <w:tcW w:w="9848" w:type="dxa"/>
            <w:tcBorders/>
            <w:vAlign w:val="center"/>
          </w:tcPr>
          <w:p>
            <w:pPr>
              <w:pStyle w:val="TableContents"/>
              <w:bidi w:val="0"/>
              <w:spacing w:before="0" w:after="283"/>
              <w:jc w:val="both"/>
              <w:rPr/>
            </w:pPr>
            <w:r>
              <w:rPr/>
              <w:t>To exercise a Warrant, the Warrant Holder must give the Company written notice thereof (the “Exercise Notice”). Exercise Notice may be given by a Warrant Holder more than once, reference is made to section 3.3.</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4.2</w:t>
            </w:r>
          </w:p>
        </w:tc>
        <w:tc>
          <w:tcPr>
            <w:tcW w:w="9848" w:type="dxa"/>
            <w:tcBorders/>
            <w:vAlign w:val="center"/>
          </w:tcPr>
          <w:p>
            <w:pPr>
              <w:pStyle w:val="TableContents"/>
              <w:bidi w:val="0"/>
              <w:spacing w:before="0" w:after="283"/>
              <w:jc w:val="both"/>
              <w:rPr/>
            </w:pPr>
            <w:r>
              <w:rPr/>
              <w:t>The Warrant Holder must within 10 business days from the date of the Exercise Notice pay in cash the Exercise Price for Warrants exercised into the bank account designated by the Company in the subscription list, failing which the Exercise Notice shall be deemed cancelled.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4.3</w:t>
            </w:r>
          </w:p>
        </w:tc>
        <w:tc>
          <w:tcPr>
            <w:tcW w:w="9848" w:type="dxa"/>
            <w:tcBorders/>
            <w:vAlign w:val="center"/>
          </w:tcPr>
          <w:p>
            <w:pPr>
              <w:pStyle w:val="TableContents"/>
              <w:bidi w:val="0"/>
              <w:spacing w:before="0" w:after="283"/>
              <w:jc w:val="both"/>
              <w:rPr/>
            </w:pPr>
            <w:r>
              <w:rPr/>
              <w:t>Upon the timely receipt by the Company of an Exercise Notice and the Exercise Price from the Warrant Holder, the Company shall carry out the increase of the Company’s share capital reflecting the exercise of Warrants and shall ensure and procure that the resolution is duly registered with the Danish Business Authority in accordance with applicable law. The Company’s register of shareholders shall be updated to reflect the Warrant Holder’s shareholding.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CHANGES IN THE COMPANY’S CAPITAL STRUCTURE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5.1</w:t>
            </w:r>
          </w:p>
        </w:tc>
        <w:tc>
          <w:tcPr>
            <w:tcW w:w="9848" w:type="dxa"/>
            <w:tcBorders/>
            <w:vAlign w:val="center"/>
          </w:tcPr>
          <w:p>
            <w:pPr>
              <w:pStyle w:val="TableContents"/>
              <w:bidi w:val="0"/>
              <w:spacing w:before="0" w:after="283"/>
              <w:jc w:val="both"/>
              <w:rPr/>
            </w:pPr>
            <w:r>
              <w:rPr/>
              <w:t>Changes in the Company’s capital structure which are not carried out at market price and thereby cause a change of the potential possibility of gain attached to a Warrant shall require an adjustment of the Warrants in accordance with this clause 5.</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5.2</w:t>
            </w:r>
          </w:p>
        </w:tc>
        <w:tc>
          <w:tcPr>
            <w:tcW w:w="9848" w:type="dxa"/>
            <w:tcBorders/>
            <w:vAlign w:val="center"/>
          </w:tcPr>
          <w:p>
            <w:pPr>
              <w:pStyle w:val="TableContents"/>
              <w:bidi w:val="0"/>
              <w:spacing w:before="0" w:after="283"/>
              <w:jc w:val="both"/>
              <w:rPr/>
            </w:pPr>
            <w:r>
              <w:rPr/>
              <w:t>Adjustments shall be made so that the potential possibility of gain attached to a Warrant, in so far as possible, shall remain the same before and after the occurrence of the incident causing the adjustment. The adjustment shall be carried out by the Company’s auditor according to recognized principles. The adjustment may be carried out either by an increase or decrease of the number of shares that can be issued following an exercise of a Warrant and/or an increase or decrease of the Exercise Price. The exercise price cannot, however, at any time be below nominal value of the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5.3</w:t>
            </w:r>
          </w:p>
        </w:tc>
        <w:tc>
          <w:tcPr>
            <w:tcW w:w="9848" w:type="dxa"/>
            <w:tcBorders/>
            <w:vAlign w:val="center"/>
          </w:tcPr>
          <w:p>
            <w:pPr>
              <w:pStyle w:val="TableContents"/>
              <w:bidi w:val="0"/>
              <w:spacing w:before="0" w:after="283"/>
              <w:jc w:val="both"/>
              <w:rPr/>
            </w:pPr>
            <w:r>
              <w:rPr/>
              <w:t>Warrants shall not be adjusted as a result of the Company’s issuance of additional employee shares, share options and/or warrants as part of employee share option schemes (including options to board members, advisors and consultants) as well as future exercise of such options and/or warrants. Warrants shall, furthermore, not be adjusted as a result of capital increases following the Warrant Holders’ and others’ exercise of warrants in the Company. In addition the Warrant Holder shall, irrespective of this clause 5, not be entitled to adjustments in the event of capital increases in directed issues following an IPO (including a listing of ADSs in the USA) with customary discounts to market price of up to 10% on the listed price.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5.4</w:t>
            </w:r>
          </w:p>
        </w:tc>
        <w:tc>
          <w:tcPr>
            <w:tcW w:w="9848" w:type="dxa"/>
            <w:tcBorders/>
            <w:vAlign w:val="center"/>
          </w:tcPr>
          <w:p>
            <w:pPr>
              <w:pStyle w:val="TableContents"/>
              <w:bidi w:val="0"/>
              <w:spacing w:before="0" w:after="283"/>
              <w:jc w:val="both"/>
              <w:rPr/>
            </w:pPr>
            <w:r>
              <w:rPr/>
              <w:t>In the event of a merger where the Company is not the surviving company, unexercised Warrants shall be exchanged for new warrants in the surviving company, which shall entitle the Warrant Holder to subscribe for shares in the surviving company. The number of shares in the surviving company that can be subscribed for on the basis of the new warrants, and/or the Exercise Price, shall be adjusted to the extent that the terms of the exchange set out in the merger plan for the Company (compared to the value of the shares in the surviving company) provide a basis therefore. If funds are distributed to the shareholders of the Company in connection with the merger, the Exercise Price shall be reduced on the basis thereof.</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5.5</w:t>
            </w:r>
          </w:p>
        </w:tc>
        <w:tc>
          <w:tcPr>
            <w:tcW w:w="9848" w:type="dxa"/>
            <w:tcBorders/>
            <w:vAlign w:val="center"/>
          </w:tcPr>
          <w:p>
            <w:pPr>
              <w:pStyle w:val="TableContents"/>
              <w:bidi w:val="0"/>
              <w:spacing w:before="0" w:after="283"/>
              <w:jc w:val="both"/>
              <w:rPr/>
            </w:pPr>
            <w:r>
              <w:rPr/>
              <w:t>In the event of a demerger of the Company, the Warrant Holder shall receive warrants in the receiving company (or companies) to an extent and on terms that entail that the terms for the Warrant Holder to the widest possible extent remain the same after the demerger. If funds are distributed to the shareholders of the Company in connection with the demerger, the Exercise Price shall be reduced on the basis thereof. The number of Warrants shall entitle the Warrant Holder to the same potential shareholding which an exercise of all Warrants prior to the demerger would have resulted in. Moreover, the terms applying to the warrants issued by the receiving company (or companies) shall be the same as the terms stipulated 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LIQUIDATION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6.1</w:t>
            </w:r>
          </w:p>
        </w:tc>
        <w:tc>
          <w:tcPr>
            <w:tcW w:w="9848" w:type="dxa"/>
            <w:tcBorders/>
            <w:vAlign w:val="center"/>
          </w:tcPr>
          <w:p>
            <w:pPr>
              <w:pStyle w:val="TableContents"/>
              <w:bidi w:val="0"/>
              <w:spacing w:before="0" w:after="283"/>
              <w:jc w:val="both"/>
              <w:rPr/>
            </w:pPr>
            <w:r>
              <w:rPr/>
              <w:t>In the event of a solvent liquidation of the Company, the Warrant Holder may in whole or in part exercise all of its unexercised Warrants.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6.2</w:t>
            </w:r>
          </w:p>
        </w:tc>
        <w:tc>
          <w:tcPr>
            <w:tcW w:w="9848" w:type="dxa"/>
            <w:tcBorders/>
            <w:vAlign w:val="center"/>
          </w:tcPr>
          <w:p>
            <w:pPr>
              <w:pStyle w:val="TableContents"/>
              <w:bidi w:val="0"/>
              <w:spacing w:before="0" w:after="283"/>
              <w:jc w:val="both"/>
              <w:rPr/>
            </w:pPr>
            <w:r>
              <w:rPr/>
              <w:t xml:space="preserve">The Company must notify the Warrant Holder in writing of any resolution to enter into a solvent liquidation immediately after the adopting of such resolution. The Warrant Holder must within 3 months following the date of receipt of such notification deliver an Exercise Notice to the chairman of the Company’s board of directors (on behalf of the Company) in accordance with clause 4 above, which shall apply </w:t>
            </w:r>
            <w:r>
              <w:rPr>
                <w:i/>
              </w:rPr>
              <w:t>mutatis mutandis</w:t>
            </w:r>
            <w:r>
              <w:rPr/>
              <w:t>, if the Warrant Holder elects to exercise its Warrants. Any Warrants not exercised upon such 3 months period ending will lapse automatically, without notice and without any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PUT OPTION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7.1</w:t>
            </w:r>
          </w:p>
        </w:tc>
        <w:tc>
          <w:tcPr>
            <w:tcW w:w="9848" w:type="dxa"/>
            <w:tcBorders/>
            <w:vAlign w:val="center"/>
          </w:tcPr>
          <w:p>
            <w:pPr>
              <w:pStyle w:val="TableContents"/>
              <w:bidi w:val="0"/>
              <w:spacing w:before="0" w:after="283"/>
              <w:jc w:val="both"/>
              <w:rPr/>
            </w:pPr>
            <w:r>
              <w:rPr/>
              <w:t>Subject to mandatory applicable law, the Company irrevocably grants the Warrant Holder the right (but not the obligation) to require the Company to cancel or purchase any Warrant granted to the Warrant Holder in consideration of the payment by the Company to the Warrant Holder of the Fair Market Value of the Warrants (as defined in clause 8) (the “Put Option”). The Warrant Holder may exercise the Put Option in relation to any Warrant on and at any time after the occurrence of any of the following events (“Put Event”):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both"/>
              <w:rPr/>
            </w:pPr>
            <w:r>
              <w:rPr/>
              <w:t>(a)</w:t>
            </w:r>
          </w:p>
        </w:tc>
        <w:tc>
          <w:tcPr>
            <w:tcW w:w="9909" w:type="dxa"/>
            <w:tcBorders/>
            <w:vAlign w:val="center"/>
          </w:tcPr>
          <w:p>
            <w:pPr>
              <w:pStyle w:val="TableContents"/>
              <w:bidi w:val="0"/>
              <w:spacing w:before="0" w:after="283"/>
              <w:jc w:val="both"/>
              <w:rPr/>
            </w:pPr>
            <w:r>
              <w:rPr/>
              <w:t>at any point in time on or after the occurrence of the sixth anniversary after the Warrant Holder has been granted the first Warrant;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both"/>
              <w:rPr/>
            </w:pPr>
            <w:r>
              <w:rPr/>
              <w:t>(b)</w:t>
            </w:r>
          </w:p>
        </w:tc>
        <w:tc>
          <w:tcPr>
            <w:tcW w:w="9880" w:type="dxa"/>
            <w:tcBorders/>
            <w:vAlign w:val="center"/>
          </w:tcPr>
          <w:p>
            <w:pPr>
              <w:pStyle w:val="TableContents"/>
              <w:bidi w:val="0"/>
              <w:spacing w:before="0" w:after="283"/>
              <w:jc w:val="both"/>
              <w:rPr/>
            </w:pPr>
            <w:r>
              <w:rPr/>
              <w:t>any mandatory or voluntary prepayment in whole or in part of the Company’s debt to the Warrant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initial public offering and admission to trading and official listing of shares of the Company (or the shares in any company or vehicle created by the Company’s shareholders for such purpose) on a stock exchange or regulated market, including but not limited to listing of American Depositary Shares (ADS’) in the United States;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both"/>
              <w:rPr/>
            </w:pPr>
            <w:r>
              <w:rPr/>
              <w:t>(c)</w:t>
            </w:r>
          </w:p>
        </w:tc>
        <w:tc>
          <w:tcPr>
            <w:tcW w:w="9900" w:type="dxa"/>
            <w:tcBorders/>
            <w:vAlign w:val="center"/>
          </w:tcPr>
          <w:p>
            <w:pPr>
              <w:pStyle w:val="TableContents"/>
              <w:bidi w:val="0"/>
              <w:spacing w:before="0" w:after="283"/>
              <w:jc w:val="both"/>
              <w:rPr/>
            </w:pPr>
            <w:r>
              <w:rPr/>
              <w:t>a sale, assignment, transfer or other disposal of all (or substantially all) of the issued share capital in the Company;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both"/>
              <w:rPr/>
            </w:pPr>
            <w:r>
              <w:rPr/>
              <w:t>(d)</w:t>
            </w:r>
          </w:p>
        </w:tc>
        <w:tc>
          <w:tcPr>
            <w:tcW w:w="9888" w:type="dxa"/>
            <w:tcBorders/>
            <w:vAlign w:val="center"/>
          </w:tcPr>
          <w:p>
            <w:pPr>
              <w:pStyle w:val="TableContents"/>
              <w:bidi w:val="0"/>
              <w:spacing w:before="0" w:after="283"/>
              <w:jc w:val="both"/>
              <w:rPr/>
            </w:pPr>
            <w:r>
              <w:rPr/>
              <w:t>a sale, assignment, transfer or other disposal of all (or substantially all) of the assets and undertakings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both"/>
              <w:rPr/>
            </w:pPr>
            <w:r>
              <w:rPr/>
              <w:t>(e)</w:t>
            </w:r>
          </w:p>
        </w:tc>
        <w:tc>
          <w:tcPr>
            <w:tcW w:w="9917" w:type="dxa"/>
            <w:tcBorders/>
            <w:vAlign w:val="center"/>
          </w:tcPr>
          <w:p>
            <w:pPr>
              <w:pStyle w:val="TableContents"/>
              <w:bidi w:val="0"/>
              <w:spacing w:before="0" w:after="283"/>
              <w:jc w:val="both"/>
              <w:rPr/>
            </w:pPr>
            <w:r>
              <w:rPr/>
              <w:t>any person or group of persons acting in concert gains Control of the Company or of any entity directly or ultimately Controlling the Company; or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both"/>
              <w:rPr/>
            </w:pPr>
            <w:r>
              <w:rPr/>
              <w:t>(f)</w:t>
            </w:r>
          </w:p>
        </w:tc>
        <w:tc>
          <w:tcPr>
            <w:tcW w:w="9980" w:type="dxa"/>
            <w:tcBorders/>
            <w:vAlign w:val="center"/>
          </w:tcPr>
          <w:p>
            <w:pPr>
              <w:pStyle w:val="TableContents"/>
              <w:bidi w:val="0"/>
              <w:spacing w:before="0" w:after="283"/>
              <w:jc w:val="both"/>
              <w:rPr/>
            </w:pPr>
            <w:r>
              <w:rPr/>
              <w:t>Andreas Holm Mattsson and Niels Iversen Møller (individually or together) cease to own and Control directly or indirectly more than 25% (twenty five per cent) of the voting rights or economic interest of the Company or be the beneficial owners directly or indirectly through wholly owned subsidiaries of more than 25% (twenty five per cent) of the issued share capital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both"/>
              <w:rPr/>
            </w:pPr>
            <w:r>
              <w:rPr/>
              <w:t>7.1.1</w:t>
            </w:r>
          </w:p>
        </w:tc>
        <w:tc>
          <w:tcPr>
            <w:tcW w:w="9668" w:type="dxa"/>
            <w:tcBorders/>
            <w:vAlign w:val="center"/>
          </w:tcPr>
          <w:p>
            <w:pPr>
              <w:pStyle w:val="TableContents"/>
              <w:bidi w:val="0"/>
              <w:spacing w:before="0" w:after="283"/>
              <w:jc w:val="both"/>
              <w:rPr/>
            </w:pPr>
            <w:r>
              <w:rPr/>
              <w:t>For the purpose of clause 7.1, “</w:t>
            </w:r>
            <w:r>
              <w:rPr>
                <w:i/>
              </w:rPr>
              <w:t>Control</w:t>
            </w:r>
            <w:r>
              <w:rPr/>
              <w:t>” shall mean the power (directly or indirectly) to (i) cast, or to control the casting of, more than 50% (fifty per cent.) of the maximum number of votes that might be cast at a general meeting of an entity, (ii) appoint or remove all, or the majority, of the directors of an entity; and/or (iii) give directions with respect to the operating and financial policies of an entity with which the directors of that entity are obliged to comply.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7.2</w:t>
            </w:r>
          </w:p>
        </w:tc>
        <w:tc>
          <w:tcPr>
            <w:tcW w:w="9848" w:type="dxa"/>
            <w:tcBorders/>
            <w:vAlign w:val="center"/>
          </w:tcPr>
          <w:p>
            <w:pPr>
              <w:pStyle w:val="TableContents"/>
              <w:bidi w:val="0"/>
              <w:spacing w:before="0" w:after="283"/>
              <w:jc w:val="both"/>
              <w:rPr/>
            </w:pPr>
            <w:r>
              <w:rPr/>
              <w:t>The Put Option shall be exercised by the Warrant Holder serving upon the Company an irrevocable notification (“Put Option Notice”). The Put Option Notice shall specify the Fair Market Value of the relevant Warrants, taking into account any adjustment under clause 5.</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7.3</w:t>
            </w:r>
          </w:p>
        </w:tc>
        <w:tc>
          <w:tcPr>
            <w:tcW w:w="9848" w:type="dxa"/>
            <w:tcBorders/>
            <w:vAlign w:val="center"/>
          </w:tcPr>
          <w:p>
            <w:pPr>
              <w:pStyle w:val="TableContents"/>
              <w:bidi w:val="0"/>
              <w:spacing w:before="0" w:after="283"/>
              <w:jc w:val="both"/>
              <w:rPr/>
            </w:pPr>
            <w:r>
              <w:rPr/>
              <w:t>If within 20 business days from the Company’s receipt of the Put Option Notice, the Company has not delivered a notice in writing to the Warrant Holder disputing the Fair Market Value (“Objection Notice”), the Company shall be deemed to have agreed the Fair Market Value specified in the Put Option Notice, and the Put Option Notice shall automatically become final and binding on the Parties.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both"/>
              <w:rPr/>
            </w:pPr>
            <w:r>
              <w:rPr/>
              <w:t>7.3.1</w:t>
            </w:r>
          </w:p>
        </w:tc>
        <w:tc>
          <w:tcPr>
            <w:tcW w:w="9668" w:type="dxa"/>
            <w:tcBorders/>
            <w:vAlign w:val="center"/>
          </w:tcPr>
          <w:p>
            <w:pPr>
              <w:pStyle w:val="TableContents"/>
              <w:bidi w:val="0"/>
              <w:spacing w:before="0" w:after="283"/>
              <w:jc w:val="both"/>
              <w:rPr/>
            </w:pPr>
            <w:r>
              <w:rPr/>
              <w:t>If the Company has delivered an Objective Notice, the Warrant Holder shall refer the matter to an independent, international and leading investment bank or a leading global firm of accountants (the “Expert”) for determination in accordance with clause 8.</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both"/>
              <w:rPr/>
            </w:pPr>
            <w:r>
              <w:rPr/>
              <w:t>7.3.2</w:t>
            </w:r>
          </w:p>
        </w:tc>
        <w:tc>
          <w:tcPr>
            <w:tcW w:w="9668" w:type="dxa"/>
            <w:tcBorders/>
            <w:vAlign w:val="center"/>
          </w:tcPr>
          <w:p>
            <w:pPr>
              <w:pStyle w:val="TableContents"/>
              <w:bidi w:val="0"/>
              <w:spacing w:before="0" w:after="283"/>
              <w:jc w:val="both"/>
              <w:rPr/>
            </w:pPr>
            <w:r>
              <w:rPr/>
              <w:t>The Expert must within one month of the matter being referred to it, give written notice of its determination of Fair Market Value to the Company and the Warrant Holder, together with a written explanation setting out in reasonable detail the basis and methods used for the purposes of the calculations performed. The Expert’s decision on Fair Market Value is binding upon the Company and the Warrant Holder, and the Fair Market Value set out in the Put Option Notice shall be deemed adjusted in accordance with the Expert’s decision on Fair Market Value.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7.4</w:t>
            </w:r>
          </w:p>
        </w:tc>
        <w:tc>
          <w:tcPr>
            <w:tcW w:w="9848" w:type="dxa"/>
            <w:tcBorders/>
            <w:vAlign w:val="center"/>
          </w:tcPr>
          <w:p>
            <w:pPr>
              <w:pStyle w:val="TableContents"/>
              <w:bidi w:val="0"/>
              <w:spacing w:before="0" w:after="283"/>
              <w:jc w:val="both"/>
              <w:rPr/>
            </w:pPr>
            <w:r>
              <w:rPr/>
              <w:t>Within 20 business days of the Fair Market Value becoming final and binding, the Company must pay the aggregate Fair Market Value in respect of the relevant Warrants in cash by electronic transfer of funds for same day value to such bank account as the Warrant Holder has specified in the Put Option Notice, whereupon the relevant Warrants will be cancelled and of no further force and effect.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FAIR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The valuation of the Fair Market Value prior to an IPO shall be determined: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08"/>
        <w:gridCol w:w="9741"/>
      </w:tblGrid>
      <w:tr>
        <w:trPr/>
        <w:tc>
          <w:tcPr>
            <w:tcW w:w="5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both"/>
              <w:rPr/>
            </w:pPr>
            <w:r>
              <w:rPr/>
              <w:t>(a)</w:t>
            </w:r>
          </w:p>
        </w:tc>
        <w:tc>
          <w:tcPr>
            <w:tcW w:w="9741" w:type="dxa"/>
            <w:tcBorders/>
            <w:vAlign w:val="center"/>
          </w:tcPr>
          <w:p>
            <w:pPr>
              <w:pStyle w:val="TableContents"/>
              <w:bidi w:val="0"/>
              <w:spacing w:before="0" w:after="283"/>
              <w:jc w:val="both"/>
              <w:rPr/>
            </w:pPr>
            <w:r>
              <w:rPr/>
              <w:t>on a fully diluted basis assuming exercise of all warrants outstanding;</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both"/>
              <w:rPr/>
            </w:pPr>
            <w:r>
              <w:rPr/>
              <w:t>(b)</w:t>
            </w:r>
          </w:p>
        </w:tc>
        <w:tc>
          <w:tcPr>
            <w:tcW w:w="9887" w:type="dxa"/>
            <w:tcBorders/>
            <w:vAlign w:val="center"/>
          </w:tcPr>
          <w:p>
            <w:pPr>
              <w:pStyle w:val="TableContents"/>
              <w:bidi w:val="0"/>
              <w:spacing w:before="0" w:after="283"/>
              <w:jc w:val="both"/>
              <w:rPr/>
            </w:pPr>
            <w:r>
              <w:rPr/>
              <w:t>by applying techniques that are appropriate in light of the nature, facts, and circumstances of the financial instrument;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88"/>
        <w:gridCol w:w="9878"/>
      </w:tblGrid>
      <w:tr>
        <w:trPr/>
        <w:tc>
          <w:tcPr>
            <w:tcW w:w="3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both"/>
              <w:rPr/>
            </w:pPr>
            <w:r>
              <w:rPr/>
              <w:t>(c)</w:t>
            </w:r>
          </w:p>
        </w:tc>
        <w:tc>
          <w:tcPr>
            <w:tcW w:w="9878" w:type="dxa"/>
            <w:tcBorders/>
            <w:vAlign w:val="center"/>
          </w:tcPr>
          <w:p>
            <w:pPr>
              <w:pStyle w:val="TableContents"/>
              <w:bidi w:val="0"/>
              <w:spacing w:before="0" w:after="283"/>
              <w:jc w:val="both"/>
              <w:rPr/>
            </w:pPr>
            <w:r>
              <w:rPr/>
              <w:t>using reasonable current market data and inputs combined with market participant assumptions;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both"/>
              <w:rPr/>
            </w:pPr>
            <w:r>
              <w:rPr/>
              <w:t>(d)</w:t>
            </w:r>
          </w:p>
        </w:tc>
        <w:tc>
          <w:tcPr>
            <w:tcW w:w="9936" w:type="dxa"/>
            <w:tcBorders/>
            <w:vAlign w:val="center"/>
          </w:tcPr>
          <w:p>
            <w:pPr>
              <w:pStyle w:val="TableContents"/>
              <w:bidi w:val="0"/>
              <w:spacing w:before="0" w:after="283"/>
              <w:jc w:val="both"/>
              <w:rPr/>
            </w:pPr>
            <w:r>
              <w:rPr/>
              <w:t>based on the price that would be received for an asset or paid to transfer a liability in an Orderly Transaction (as defined below), given market conditions at the measurement date, between market participants that are (i) independent of each other, (ii) knowledgeable of the market, (iii) able to transact and willing to transact, that is, they are motivated but not forced or otherwise compelled to do so.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8.2</w:t>
            </w:r>
          </w:p>
        </w:tc>
        <w:tc>
          <w:tcPr>
            <w:tcW w:w="9848" w:type="dxa"/>
            <w:tcBorders/>
            <w:vAlign w:val="center"/>
          </w:tcPr>
          <w:p>
            <w:pPr>
              <w:pStyle w:val="TableContents"/>
              <w:bidi w:val="0"/>
              <w:spacing w:before="0" w:after="283"/>
              <w:jc w:val="both"/>
              <w:rPr/>
            </w:pPr>
            <w:r>
              <w:rPr/>
              <w:t>The valuation shall be by guided by the International Private Equity and Venture Capital Valuation Guidelines as such are amended from time to time.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8.3</w:t>
            </w:r>
          </w:p>
        </w:tc>
        <w:tc>
          <w:tcPr>
            <w:tcW w:w="9848" w:type="dxa"/>
            <w:tcBorders/>
            <w:vAlign w:val="center"/>
          </w:tcPr>
          <w:p>
            <w:pPr>
              <w:pStyle w:val="TableContents"/>
              <w:bidi w:val="0"/>
              <w:spacing w:before="0" w:after="283"/>
              <w:jc w:val="both"/>
              <w:rPr/>
            </w:pPr>
            <w:r>
              <w:rPr/>
              <w:t>Following an IPO the Fair Market Value shall mean the average VWAP of the Company’s shares calculated for a period of six (6) months following the date of notification that the Put Option is being exercised. In the first six (6) months after an IPO, the Fair Market Value shall mean the average VWAP of the Company’s shares calculated for the entire period from the IPO until the date of notification that the Put Option is being exercised.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8.4</w:t>
            </w:r>
          </w:p>
        </w:tc>
        <w:tc>
          <w:tcPr>
            <w:tcW w:w="9848" w:type="dxa"/>
            <w:tcBorders/>
            <w:vAlign w:val="center"/>
          </w:tcPr>
          <w:p>
            <w:pPr>
              <w:pStyle w:val="TableContents"/>
              <w:bidi w:val="0"/>
              <w:spacing w:before="0" w:after="283"/>
              <w:jc w:val="both"/>
              <w:rPr/>
            </w:pPr>
            <w:r>
              <w:rPr/>
              <w:t>For the purposes of this clause 8, “Orderly Transaction” means a transaction that assumes exposure to the market for a period prior to the measurement date to allow for marketing activities that are usual and customary for transactions involving the respective assets or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TERMS OF THE ISSUE OF SHARES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9.1</w:t>
            </w:r>
          </w:p>
        </w:tc>
        <w:tc>
          <w:tcPr>
            <w:tcW w:w="9848" w:type="dxa"/>
            <w:tcBorders/>
            <w:vAlign w:val="center"/>
          </w:tcPr>
          <w:p>
            <w:pPr>
              <w:pStyle w:val="TableContents"/>
              <w:bidi w:val="0"/>
              <w:spacing w:before="0" w:after="283"/>
              <w:jc w:val="both"/>
              <w:rPr/>
            </w:pPr>
            <w:r>
              <w:rPr/>
              <w:t>The following shall apply for the new shares issued in connection with the exercise of Warrants in accordance with these Warrant Terms: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both"/>
              <w:rPr/>
            </w:pPr>
            <w:r>
              <w:rPr/>
              <w:t>(a)</w:t>
            </w:r>
          </w:p>
        </w:tc>
        <w:tc>
          <w:tcPr>
            <w:tcW w:w="9937" w:type="dxa"/>
            <w:tcBorders/>
            <w:vAlign w:val="center"/>
          </w:tcPr>
          <w:p>
            <w:pPr>
              <w:pStyle w:val="TableContents"/>
              <w:bidi w:val="0"/>
              <w:spacing w:before="0" w:after="283"/>
              <w:jc w:val="both"/>
              <w:rPr/>
            </w:pPr>
            <w:r>
              <w:rPr/>
              <w:t>the maximum nominal value of the capital increase resulting from an exercise of Warrants will be DKK 373,127 (adjusted by decision of the board of directors on 3 October 2024), and the minimum nominal value will be DKK 1;</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both"/>
              <w:rPr/>
            </w:pPr>
            <w:r>
              <w:rPr/>
              <w:t>(b)</w:t>
            </w:r>
          </w:p>
        </w:tc>
        <w:tc>
          <w:tcPr>
            <w:tcW w:w="9908" w:type="dxa"/>
            <w:tcBorders/>
            <w:vAlign w:val="center"/>
          </w:tcPr>
          <w:p>
            <w:pPr>
              <w:pStyle w:val="TableContents"/>
              <w:bidi w:val="0"/>
              <w:spacing w:before="0" w:after="283"/>
              <w:jc w:val="both"/>
              <w:rPr/>
            </w:pPr>
            <w:r>
              <w:rPr/>
              <w:t>the new shares subscribed for on the basis of exercise of the Warrants are issued/subscribed for without pre-emption rights for the Company’s existing shareholders;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both"/>
              <w:rPr/>
            </w:pPr>
            <w:r>
              <w:rPr/>
              <w:t>(c)</w:t>
            </w:r>
          </w:p>
        </w:tc>
        <w:tc>
          <w:tcPr>
            <w:tcW w:w="9894" w:type="dxa"/>
            <w:tcBorders/>
            <w:vAlign w:val="center"/>
          </w:tcPr>
          <w:p>
            <w:pPr>
              <w:pStyle w:val="TableContents"/>
              <w:bidi w:val="0"/>
              <w:spacing w:before="0" w:after="283"/>
              <w:jc w:val="both"/>
              <w:rPr/>
            </w:pPr>
            <w:r>
              <w:rPr/>
              <w:t>the new shares issued on the basis of exercise of Warrants shall be subscribed for in cash and paid in full;</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19"/>
        <w:gridCol w:w="9845"/>
      </w:tblGrid>
      <w:tr>
        <w:trPr/>
        <w:tc>
          <w:tcPr>
            <w:tcW w:w="4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pPr>
            <w:r>
              <w:rPr/>
              <w:t>(d)</w:t>
            </w:r>
          </w:p>
        </w:tc>
        <w:tc>
          <w:tcPr>
            <w:tcW w:w="9845" w:type="dxa"/>
            <w:tcBorders/>
            <w:vAlign w:val="center"/>
          </w:tcPr>
          <w:p>
            <w:pPr>
              <w:pStyle w:val="TableContents"/>
              <w:bidi w:val="0"/>
              <w:spacing w:before="0" w:after="283"/>
              <w:jc w:val="both"/>
              <w:rPr/>
            </w:pPr>
            <w:r>
              <w:rPr/>
              <w:t>the new shares issued on the basis of exercise of Warrants shall be non-negotiable instruments;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both"/>
              <w:rPr/>
            </w:pPr>
            <w:r>
              <w:rPr/>
              <w:t>(e)</w:t>
            </w:r>
          </w:p>
        </w:tc>
        <w:tc>
          <w:tcPr>
            <w:tcW w:w="9899" w:type="dxa"/>
            <w:tcBorders/>
            <w:vAlign w:val="center"/>
          </w:tcPr>
          <w:p>
            <w:pPr>
              <w:pStyle w:val="TableContents"/>
              <w:bidi w:val="0"/>
              <w:spacing w:before="0" w:after="283"/>
              <w:jc w:val="both"/>
              <w:rPr/>
            </w:pPr>
            <w:r>
              <w:rPr/>
              <w:t>the new shares shall be registered in the name of the shareholders and be registered in the shareholders’ register;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pPr>
            <w:r>
              <w:rPr/>
              <w:t>(f)</w:t>
            </w:r>
          </w:p>
        </w:tc>
        <w:tc>
          <w:tcPr>
            <w:tcW w:w="9949" w:type="dxa"/>
            <w:tcBorders/>
            <w:vAlign w:val="center"/>
          </w:tcPr>
          <w:p>
            <w:pPr>
              <w:pStyle w:val="TableContents"/>
              <w:bidi w:val="0"/>
              <w:spacing w:before="0" w:after="283"/>
              <w:jc w:val="both"/>
              <w:rPr/>
            </w:pPr>
            <w:r>
              <w:rPr/>
              <w:t>the new shares issued on the basis of Warrants will not be subject to any restrictions in the pre-emption rights in connection with future capital increases;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both"/>
              <w:rPr/>
            </w:pPr>
            <w:r>
              <w:rPr/>
              <w:t>(g)</w:t>
            </w:r>
          </w:p>
        </w:tc>
        <w:tc>
          <w:tcPr>
            <w:tcW w:w="9922" w:type="dxa"/>
            <w:tcBorders/>
            <w:vAlign w:val="center"/>
          </w:tcPr>
          <w:p>
            <w:pPr>
              <w:pStyle w:val="TableContents"/>
              <w:bidi w:val="0"/>
              <w:spacing w:before="0" w:after="283"/>
              <w:jc w:val="both"/>
              <w:rPr/>
            </w:pPr>
            <w:r>
              <w:rPr/>
              <w:t>the new shares are entitled to dividends, and other rights in the Company according to the provisions in the Company’s articles of association, from the date the registration of the capital increase with the Danish Business Authority;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73"/>
        <w:gridCol w:w="9784"/>
      </w:tblGrid>
      <w:tr>
        <w:trPr/>
        <w:tc>
          <w:tcPr>
            <w:tcW w:w="4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both"/>
              <w:rPr/>
            </w:pPr>
            <w:r>
              <w:rPr/>
              <w:t>(h)</w:t>
            </w:r>
          </w:p>
        </w:tc>
        <w:tc>
          <w:tcPr>
            <w:tcW w:w="9784" w:type="dxa"/>
            <w:tcBorders/>
            <w:vAlign w:val="center"/>
          </w:tcPr>
          <w:p>
            <w:pPr>
              <w:pStyle w:val="TableContents"/>
              <w:bidi w:val="0"/>
              <w:spacing w:before="0" w:after="283"/>
              <w:jc w:val="both"/>
              <w:rPr/>
            </w:pPr>
            <w:r>
              <w:rPr/>
              <w:t>the new shares shall carry the same rights as the existing shares in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TRANSFERABILITY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10.1</w:t>
            </w:r>
          </w:p>
        </w:tc>
        <w:tc>
          <w:tcPr>
            <w:tcW w:w="9728" w:type="dxa"/>
            <w:tcBorders/>
            <w:vAlign w:val="center"/>
          </w:tcPr>
          <w:p>
            <w:pPr>
              <w:pStyle w:val="TableContents"/>
              <w:bidi w:val="0"/>
              <w:spacing w:before="0" w:after="283"/>
              <w:jc w:val="both"/>
              <w:rPr/>
            </w:pPr>
            <w:r>
              <w:rPr/>
              <w:t>The transferability of the Warrants shall not be subject to any restrictions, provided that any sale or transfer of Warrants must comply with all applicable laws.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NOTICES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11.1</w:t>
            </w:r>
          </w:p>
        </w:tc>
        <w:tc>
          <w:tcPr>
            <w:tcW w:w="9728" w:type="dxa"/>
            <w:tcBorders/>
            <w:vAlign w:val="center"/>
          </w:tcPr>
          <w:p>
            <w:pPr>
              <w:pStyle w:val="TableContents"/>
              <w:bidi w:val="0"/>
              <w:spacing w:before="0" w:after="283"/>
              <w:jc w:val="both"/>
              <w:rPr/>
            </w:pPr>
            <w:r>
              <w:rPr/>
              <w:t>Any communication by the Warrant Holder to the Company regarding all matters in these Warrant Terms shall be conducted via e-mail to the chairman of the Company’s board of directors (to the e-mail address most recently notified to the Warrant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COSTS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12.1</w:t>
            </w:r>
          </w:p>
        </w:tc>
        <w:tc>
          <w:tcPr>
            <w:tcW w:w="9728" w:type="dxa"/>
            <w:tcBorders/>
            <w:vAlign w:val="center"/>
          </w:tcPr>
          <w:p>
            <w:pPr>
              <w:pStyle w:val="TableContents"/>
              <w:bidi w:val="0"/>
              <w:spacing w:before="0" w:after="283"/>
              <w:jc w:val="both"/>
              <w:rPr/>
            </w:pPr>
            <w:r>
              <w:rPr/>
              <w:t>The Company shall be liable for all taxes, duties, fees and other impositions of whatsoever nature, including stamp duty and registration fees, arising out of the creation, preparation, execution, implementation, perfection, registration, enforcement, amendment (including supplements and waivers) or termination resulting from the Warrant Terms, including but not limited to all costs in connection with issuing of the Warrants and the potential exercise hereof, except for any capital gain or income tax payable by, or imposed on, the Warrant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GOVERNING LAW AND JURISDICTION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13.1</w:t>
            </w:r>
          </w:p>
        </w:tc>
        <w:tc>
          <w:tcPr>
            <w:tcW w:w="9728" w:type="dxa"/>
            <w:tcBorders/>
            <w:vAlign w:val="center"/>
          </w:tcPr>
          <w:p>
            <w:pPr>
              <w:pStyle w:val="TableContents"/>
              <w:bidi w:val="0"/>
              <w:spacing w:before="0" w:after="283"/>
              <w:jc w:val="both"/>
              <w:rPr/>
            </w:pPr>
            <w:r>
              <w:rPr/>
              <w:t>The Warrant Terms are governed by and will be interpreted in accordance with Danish law. However, the conflict of laws rules must be disregarded to the extent that such rules are non-mandatory.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13.2</w:t>
            </w:r>
          </w:p>
        </w:tc>
        <w:tc>
          <w:tcPr>
            <w:tcW w:w="9728" w:type="dxa"/>
            <w:tcBorders/>
            <w:vAlign w:val="center"/>
          </w:tcPr>
          <w:p>
            <w:pPr>
              <w:pStyle w:val="TableContents"/>
              <w:bidi w:val="0"/>
              <w:spacing w:before="0" w:after="283"/>
              <w:jc w:val="both"/>
              <w:rPr/>
            </w:pPr>
            <w:r>
              <w:rPr/>
              <w:t>Any dispute arising out of the Warrant Terms, including any dispute concerning the existence or validity of the Warrant Terms, will be brought before the Danish courts.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English part of this parallel document in Danish and English is an unofficial translation of the original Danish text. In the event of disputes or misunderstandings arising from the interpretation of the translation, the Danish language shall prevail.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5"/>
        <w:gridCol w:w="5060"/>
        <w:gridCol w:w="60"/>
        <w:gridCol w:w="4790"/>
      </w:tblGrid>
      <w:tr>
        <w:trPr/>
        <w:tc>
          <w:tcPr>
            <w:tcW w:w="295" w:type="dxa"/>
            <w:tcBorders/>
            <w:vAlign w:val="center"/>
          </w:tcPr>
          <w:p>
            <w:pPr>
              <w:pStyle w:val="TableContents"/>
              <w:bidi w:val="0"/>
              <w:spacing w:before="0" w:after="283"/>
              <w:jc w:val="both"/>
              <w:rPr/>
            </w:pPr>
            <w:r>
              <w:rPr/>
              <w:t> </w:t>
            </w:r>
          </w:p>
        </w:tc>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BILAG 5 TIL SELSKABETS VEDTÆGTER</w:t>
            </w:r>
          </w:p>
        </w:tc>
        <w:tc>
          <w:tcPr>
            <w:tcW w:w="60" w:type="dxa"/>
            <w:tcBorders/>
            <w:vAlign w:val="center"/>
          </w:tcPr>
          <w:p>
            <w:pPr>
              <w:pStyle w:val="TableContents"/>
              <w:bidi w:val="0"/>
              <w:spacing w:before="0" w:after="283"/>
              <w:jc w:val="both"/>
              <w:rPr/>
            </w:pPr>
            <w:r>
              <w:rPr/>
              <w:t> </w:t>
            </w:r>
          </w:p>
        </w:tc>
        <w:tc>
          <w:tcPr>
            <w:tcW w:w="4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APPENDIX 5 TO ARTICLES OF ASSOCIATION</w:t>
            </w:r>
          </w:p>
        </w:tc>
      </w:tr>
      <w:tr>
        <w:trPr/>
        <w:tc>
          <w:tcPr>
            <w:tcW w:w="295" w:type="dxa"/>
            <w:tcBorders/>
            <w:vAlign w:val="center"/>
          </w:tcPr>
          <w:p>
            <w:pPr>
              <w:pStyle w:val="TableContents"/>
              <w:bidi w:val="0"/>
              <w:spacing w:before="0" w:after="283"/>
              <w:jc w:val="both"/>
              <w:rPr/>
            </w:pPr>
            <w:r>
              <w:rPr/>
              <w:t> </w:t>
            </w:r>
          </w:p>
        </w:tc>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EVAXION BIOTECH A/S </w:t>
              <w:br/>
              <w:t>(“</w:t>
            </w:r>
            <w:r>
              <w:rPr>
                <w:rFonts w:ascii="Times New Roman;Times;Serif" w:hAnsi="Times New Roman;Times;Serif"/>
                <w:b/>
                <w:sz w:val="20"/>
              </w:rPr>
              <w:t>Selskabet</w:t>
            </w:r>
            <w:r>
              <w:rPr>
                <w:rFonts w:ascii="Times New Roman;Times;Serif" w:hAnsi="Times New Roman;Times;Serif"/>
                <w:sz w:val="20"/>
              </w:rPr>
              <w:t>”)</w:t>
            </w:r>
          </w:p>
        </w:tc>
        <w:tc>
          <w:tcPr>
            <w:tcW w:w="60" w:type="dxa"/>
            <w:tcBorders/>
            <w:vAlign w:val="center"/>
          </w:tcPr>
          <w:p>
            <w:pPr>
              <w:pStyle w:val="TableContents"/>
              <w:bidi w:val="0"/>
              <w:spacing w:before="0" w:after="283"/>
              <w:jc w:val="both"/>
              <w:rPr/>
            </w:pPr>
            <w:r>
              <w:rPr/>
              <w:t> </w:t>
            </w:r>
          </w:p>
        </w:tc>
        <w:tc>
          <w:tcPr>
            <w:tcW w:w="4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EVAXION BIOTECH A/S</w:t>
              <w:br/>
              <w:t>(the “</w:t>
            </w:r>
            <w:r>
              <w:rPr>
                <w:rFonts w:ascii="Times New Roman;Times;Serif" w:hAnsi="Times New Roman;Times;Serif"/>
                <w:b/>
                <w:sz w:val="20"/>
              </w:rPr>
              <w:t>Company</w:t>
            </w:r>
            <w:r>
              <w:rPr>
                <w:rFonts w:ascii="Times New Roman;Times;Serif" w:hAnsi="Times New Roman;Times;Serif"/>
                <w:sz w:val="20"/>
              </w:rPr>
              <w:t>”)</w:t>
            </w:r>
          </w:p>
        </w:tc>
      </w:tr>
      <w:tr>
        <w:trPr/>
        <w:tc>
          <w:tcPr>
            <w:tcW w:w="295" w:type="dxa"/>
            <w:tcBorders/>
            <w:vAlign w:val="center"/>
          </w:tcPr>
          <w:p>
            <w:pPr>
              <w:pStyle w:val="TableContents"/>
              <w:bidi w:val="0"/>
              <w:spacing w:before="0" w:after="283"/>
              <w:jc w:val="both"/>
              <w:rPr/>
            </w:pPr>
            <w:r>
              <w:rPr/>
              <w:t> </w:t>
            </w:r>
          </w:p>
        </w:tc>
        <w:tc>
          <w:tcPr>
            <w:tcW w:w="50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INTRODUKTION</w:t>
            </w:r>
          </w:p>
        </w:tc>
        <w:tc>
          <w:tcPr>
            <w:tcW w:w="60" w:type="dxa"/>
            <w:tcBorders/>
            <w:vAlign w:val="center"/>
          </w:tcPr>
          <w:p>
            <w:pPr>
              <w:pStyle w:val="TableContents"/>
              <w:bidi w:val="0"/>
              <w:spacing w:before="0" w:after="283"/>
              <w:jc w:val="both"/>
              <w:rPr/>
            </w:pPr>
            <w:r>
              <w:rPr/>
              <w:t> </w:t>
            </w:r>
          </w:p>
        </w:tc>
        <w:tc>
          <w:tcPr>
            <w:tcW w:w="47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INTRODUCTION</w:t>
            </w:r>
          </w:p>
        </w:tc>
      </w:tr>
      <w:tr>
        <w:trPr/>
        <w:tc>
          <w:tcPr>
            <w:tcW w:w="295" w:type="dxa"/>
            <w:tcBorders/>
            <w:vAlign w:val="center"/>
          </w:tcPr>
          <w:p>
            <w:pPr>
              <w:pStyle w:val="TableContents"/>
              <w:bidi w:val="0"/>
              <w:spacing w:before="0" w:after="283"/>
              <w:jc w:val="both"/>
              <w:rPr/>
            </w:pPr>
            <w:r>
              <w:rPr/>
              <w:t> </w:t>
            </w:r>
          </w:p>
        </w:tc>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Bestyrelsen har den 17. december 2020 bestemt, at følgende vilkår og betingelser skal være gældende for visse warrants, der udstedes til bestyrelse, direktion, øvrige medarbejdere samt rådgivere/konsulenter i henhold til bemyndigelsen i vedtægternes pkt. 2.5:</w:t>
            </w:r>
          </w:p>
        </w:tc>
        <w:tc>
          <w:tcPr>
            <w:tcW w:w="60" w:type="dxa"/>
            <w:tcBorders/>
            <w:vAlign w:val="center"/>
          </w:tcPr>
          <w:p>
            <w:pPr>
              <w:pStyle w:val="TableContents"/>
              <w:bidi w:val="0"/>
              <w:spacing w:before="0" w:after="283"/>
              <w:jc w:val="both"/>
              <w:rPr/>
            </w:pPr>
            <w:r>
              <w:rPr/>
              <w:t> </w:t>
            </w:r>
          </w:p>
        </w:tc>
        <w:tc>
          <w:tcPr>
            <w:tcW w:w="4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of directors has on 17 December 2020 resolved that the following terms and conditions shall apply to certain warrants which are granted to board members, management, other employees and advisors/consultants according to the authorization in article 2.5 of the articles of association:</w:t>
            </w:r>
          </w:p>
        </w:tc>
      </w:tr>
      <w:tr>
        <w:trPr/>
        <w:tc>
          <w:tcPr>
            <w:tcW w:w="2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w:t>
            </w:r>
          </w:p>
        </w:tc>
        <w:tc>
          <w:tcPr>
            <w:tcW w:w="50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GENERELT</w:t>
            </w:r>
          </w:p>
        </w:tc>
        <w:tc>
          <w:tcPr>
            <w:tcW w:w="60" w:type="dxa"/>
            <w:tcBorders/>
            <w:vAlign w:val="center"/>
          </w:tcPr>
          <w:p>
            <w:pPr>
              <w:pStyle w:val="TableContents"/>
              <w:bidi w:val="0"/>
              <w:spacing w:before="0" w:after="283"/>
              <w:jc w:val="both"/>
              <w:rPr/>
            </w:pPr>
            <w:r>
              <w:rPr/>
              <w:t> </w:t>
            </w:r>
          </w:p>
        </w:tc>
        <w:tc>
          <w:tcPr>
            <w:tcW w:w="47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GENERAL</w:t>
            </w:r>
          </w:p>
        </w:tc>
      </w:tr>
      <w:tr>
        <w:trPr/>
        <w:tc>
          <w:tcPr>
            <w:tcW w:w="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har besluttet at indføre et incitamentsprogram for bestyrelse, direktion, øvrige medarbejdere samt rådgivere/konsulenter (herefter samlet benævnt “Warrantindehavere”) i/for Selskabet og dets eventuelle datterselskaber (herefter benævnt “Selskabet”). Programmet er baseret på vederlagsfri tildeling af warrants.</w:t>
            </w:r>
          </w:p>
        </w:tc>
        <w:tc>
          <w:tcPr>
            <w:tcW w:w="60" w:type="dxa"/>
            <w:tcBorders/>
            <w:vAlign w:val="center"/>
          </w:tcPr>
          <w:p>
            <w:pPr>
              <w:pStyle w:val="TableContents"/>
              <w:bidi w:val="0"/>
              <w:spacing w:before="0" w:after="283"/>
              <w:jc w:val="both"/>
              <w:rPr/>
            </w:pPr>
            <w:r>
              <w:rPr/>
              <w:t> </w:t>
            </w:r>
          </w:p>
        </w:tc>
        <w:tc>
          <w:tcPr>
            <w:tcW w:w="4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decided to introduce an incentive program for board members, management, other employees and advisors/consultants (hereinafter collectively referred to as “Warrant-holders”) in/on behalf of the Company and its subsidiaries (collectively the “Company”). The program is based on grant of warrants without payment.</w:t>
            </w:r>
          </w:p>
        </w:tc>
      </w:tr>
      <w:tr>
        <w:trPr/>
        <w:tc>
          <w:tcPr>
            <w:tcW w:w="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 warrant er en ret, men ikke en pligt, til i nærmere fastlagte perioder (udnyttelsesperioder) at tegne nye aktier i Selskabet til en kurs, der er fastsat på forhånd (udnyttelsesprisen). Udnyttelsesprisen fastsættes af bestyrelsen i forbindelse med hver udstedelse/tildeling af warrants. Én warrant giver ret til at tegne én ordinær aktie i Selskabet á nominelt DKK 1,00.</w:t>
            </w:r>
          </w:p>
        </w:tc>
        <w:tc>
          <w:tcPr>
            <w:tcW w:w="60" w:type="dxa"/>
            <w:tcBorders/>
            <w:vAlign w:val="center"/>
          </w:tcPr>
          <w:p>
            <w:pPr>
              <w:pStyle w:val="TableContents"/>
              <w:bidi w:val="0"/>
              <w:spacing w:before="0" w:after="283"/>
              <w:jc w:val="both"/>
              <w:rPr/>
            </w:pPr>
            <w:r>
              <w:rPr/>
              <w:t> </w:t>
            </w:r>
          </w:p>
        </w:tc>
        <w:tc>
          <w:tcPr>
            <w:tcW w:w="4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warrant is a right, but not an obligation, during fixed periods (exercise periods) to subscribe for new ordinary shares in the Company at a fixed price (the exercise price) in advance. The exercise price shall be determined by the board of directors. Each warrant carries the right to subscribe for nominal DKK 1.00 per ordinary share in the Company.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4"/>
        <w:gridCol w:w="5209"/>
        <w:gridCol w:w="60"/>
        <w:gridCol w:w="4642"/>
      </w:tblGrid>
      <w:tr>
        <w:trPr/>
        <w:tc>
          <w:tcPr>
            <w:tcW w:w="2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5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tildeles efter bestyrelsens diskretionære skøn.</w:t>
            </w:r>
          </w:p>
        </w:tc>
        <w:tc>
          <w:tcPr>
            <w:tcW w:w="60" w:type="dxa"/>
            <w:tcBorders/>
            <w:vAlign w:val="center"/>
          </w:tcPr>
          <w:p>
            <w:pPr>
              <w:pStyle w:val="TableContents"/>
              <w:bidi w:val="0"/>
              <w:spacing w:before="0" w:after="283"/>
              <w:jc w:val="both"/>
              <w:rPr/>
            </w:pPr>
            <w:r>
              <w:rPr/>
              <w:t> </w:t>
            </w:r>
          </w:p>
        </w:tc>
        <w:tc>
          <w:tcPr>
            <w:tcW w:w="46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are offered at the discretion of the board of directors.</w:t>
            </w:r>
          </w:p>
        </w:tc>
      </w:tr>
      <w:tr>
        <w:trPr/>
        <w:tc>
          <w:tcPr>
            <w:tcW w:w="29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w:t>
            </w:r>
          </w:p>
        </w:tc>
        <w:tc>
          <w:tcPr>
            <w:tcW w:w="520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TILDELING AF WARRANTS</w:t>
            </w:r>
          </w:p>
        </w:tc>
        <w:tc>
          <w:tcPr>
            <w:tcW w:w="60" w:type="dxa"/>
            <w:tcBorders/>
            <w:vAlign w:val="center"/>
          </w:tcPr>
          <w:p>
            <w:pPr>
              <w:pStyle w:val="TableContents"/>
              <w:bidi w:val="0"/>
              <w:spacing w:before="0" w:after="283"/>
              <w:jc w:val="both"/>
              <w:rPr/>
            </w:pPr>
            <w:r>
              <w:rPr/>
              <w:t> </w:t>
            </w:r>
          </w:p>
        </w:tc>
        <w:tc>
          <w:tcPr>
            <w:tcW w:w="464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GRANT OF WARRANTS</w:t>
            </w:r>
          </w:p>
        </w:tc>
      </w:tr>
      <w:tr>
        <w:trPr/>
        <w:tc>
          <w:tcPr>
            <w:tcW w:w="2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w:t>
            </w:r>
          </w:p>
        </w:tc>
        <w:tc>
          <w:tcPr>
            <w:tcW w:w="5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skal fremgå af den enkelte Warrantindehavers warrantaftale, hvor mange warrants Warrantindehaveren får tildelt, samt til hvilken kurs warrants kan udnyttes.</w:t>
            </w:r>
          </w:p>
        </w:tc>
        <w:tc>
          <w:tcPr>
            <w:tcW w:w="60" w:type="dxa"/>
            <w:tcBorders/>
            <w:vAlign w:val="center"/>
          </w:tcPr>
          <w:p>
            <w:pPr>
              <w:pStyle w:val="TableContents"/>
              <w:bidi w:val="0"/>
              <w:spacing w:before="0" w:after="283"/>
              <w:jc w:val="both"/>
              <w:rPr/>
            </w:pPr>
            <w:r>
              <w:rPr/>
              <w:t> </w:t>
            </w:r>
          </w:p>
        </w:tc>
        <w:tc>
          <w:tcPr>
            <w:tcW w:w="46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individual Warrantholder’s warrant agreement shall describe how many warrants have been granted to the Warrantholder and the exercise price for the warrants.</w:t>
            </w:r>
          </w:p>
        </w:tc>
      </w:tr>
      <w:tr>
        <w:trPr/>
        <w:tc>
          <w:tcPr>
            <w:tcW w:w="2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w:t>
            </w:r>
          </w:p>
        </w:tc>
        <w:tc>
          <w:tcPr>
            <w:tcW w:w="5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Warrantindehaverne skal ikke betale noget vederlag for at få tildelt warrants.</w:t>
            </w:r>
          </w:p>
        </w:tc>
        <w:tc>
          <w:tcPr>
            <w:tcW w:w="60" w:type="dxa"/>
            <w:tcBorders/>
            <w:vAlign w:val="center"/>
          </w:tcPr>
          <w:p>
            <w:pPr>
              <w:pStyle w:val="TableContents"/>
              <w:bidi w:val="0"/>
              <w:spacing w:before="0" w:after="283"/>
              <w:jc w:val="both"/>
              <w:rPr/>
            </w:pPr>
            <w:r>
              <w:rPr/>
              <w:t> </w:t>
            </w:r>
          </w:p>
        </w:tc>
        <w:tc>
          <w:tcPr>
            <w:tcW w:w="46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grant of warrants shall not be subject to payment from the Warrantholders.</w:t>
            </w:r>
          </w:p>
        </w:tc>
      </w:tr>
      <w:tr>
        <w:trPr/>
        <w:tc>
          <w:tcPr>
            <w:tcW w:w="2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w:t>
            </w:r>
          </w:p>
        </w:tc>
        <w:tc>
          <w:tcPr>
            <w:tcW w:w="5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eller den til hvem kompetencen er delegeret fører en fortegnelse over tildelte warrants, der ajourføres løbende.</w:t>
            </w:r>
          </w:p>
        </w:tc>
        <w:tc>
          <w:tcPr>
            <w:tcW w:w="60" w:type="dxa"/>
            <w:tcBorders/>
            <w:vAlign w:val="center"/>
          </w:tcPr>
          <w:p>
            <w:pPr>
              <w:pStyle w:val="TableContents"/>
              <w:bidi w:val="0"/>
              <w:spacing w:before="0" w:after="283"/>
              <w:jc w:val="both"/>
              <w:rPr/>
            </w:pPr>
            <w:r>
              <w:rPr/>
              <w:t> </w:t>
            </w:r>
          </w:p>
        </w:tc>
        <w:tc>
          <w:tcPr>
            <w:tcW w:w="46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or the Company’s proxy shall keep records of granted warrants and update the records at regular intervals.</w:t>
            </w:r>
          </w:p>
        </w:tc>
      </w:tr>
      <w:tr>
        <w:trPr/>
        <w:tc>
          <w:tcPr>
            <w:tcW w:w="29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w:t>
            </w:r>
          </w:p>
        </w:tc>
        <w:tc>
          <w:tcPr>
            <w:tcW w:w="520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OPTJENING</w:t>
            </w:r>
          </w:p>
        </w:tc>
        <w:tc>
          <w:tcPr>
            <w:tcW w:w="60" w:type="dxa"/>
            <w:tcBorders/>
            <w:vAlign w:val="center"/>
          </w:tcPr>
          <w:p>
            <w:pPr>
              <w:pStyle w:val="TableContents"/>
              <w:bidi w:val="0"/>
              <w:spacing w:before="0" w:after="283"/>
              <w:jc w:val="both"/>
              <w:rPr/>
            </w:pPr>
            <w:r>
              <w:rPr/>
              <w:t> </w:t>
            </w:r>
          </w:p>
        </w:tc>
        <w:tc>
          <w:tcPr>
            <w:tcW w:w="464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VESTING</w:t>
            </w:r>
          </w:p>
        </w:tc>
      </w:tr>
      <w:tr>
        <w:trPr/>
        <w:tc>
          <w:tcPr>
            <w:tcW w:w="2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w:t>
            </w:r>
          </w:p>
        </w:tc>
        <w:tc>
          <w:tcPr>
            <w:tcW w:w="5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 optjener som udgangspunkt ret til at udnytte warrants med 1/36 pr. måned regnet fra tildelingstidspunktet. Bestyrelsen skal dog være berettiget til at fravige nævnte udgangspunkt og bestemme, at tildelte warrants anses for optjent pr. tildelingstidspunktet, eller at der skal gælde særlige regler for optjeningen. Sådanne eventuelle fravigelser skal specificeres i vedtægterne i forbindelse med udstedelsen.</w:t>
            </w:r>
          </w:p>
        </w:tc>
        <w:tc>
          <w:tcPr>
            <w:tcW w:w="60" w:type="dxa"/>
            <w:tcBorders/>
            <w:vAlign w:val="center"/>
          </w:tcPr>
          <w:p>
            <w:pPr>
              <w:pStyle w:val="TableContents"/>
              <w:bidi w:val="0"/>
              <w:spacing w:before="0" w:after="283"/>
              <w:jc w:val="both"/>
              <w:rPr/>
            </w:pPr>
            <w:r>
              <w:rPr/>
              <w:t> </w:t>
            </w:r>
          </w:p>
        </w:tc>
        <w:tc>
          <w:tcPr>
            <w:tcW w:w="46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granted shall, as a general rule, vest for exercise with 1/36 per month from the date of grant. The board of directors shall, however, be entitled to deviate from the general rule and determine that warrants shall vest as of the grant date, or that special rules shall apply in relation to vesting. Such deviations, if any, shall be specified in the articles of association in connection with the issuance.</w:t>
            </w:r>
          </w:p>
        </w:tc>
      </w:tr>
      <w:tr>
        <w:trPr/>
        <w:tc>
          <w:tcPr>
            <w:tcW w:w="2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w:t>
            </w:r>
          </w:p>
        </w:tc>
        <w:tc>
          <w:tcPr>
            <w:tcW w:w="5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 Warrantindehaver optjener kun warrants, så længe vedkommende er bestyrelsesmedlem eller ansat i Selskabet eller dets eventuelle datterselskaber.</w:t>
            </w:r>
          </w:p>
        </w:tc>
        <w:tc>
          <w:tcPr>
            <w:tcW w:w="60" w:type="dxa"/>
            <w:tcBorders/>
            <w:vAlign w:val="center"/>
          </w:tcPr>
          <w:p>
            <w:pPr>
              <w:pStyle w:val="TableContents"/>
              <w:bidi w:val="0"/>
              <w:spacing w:before="0" w:after="283"/>
              <w:jc w:val="both"/>
              <w:rPr/>
            </w:pPr>
            <w:r>
              <w:rPr/>
              <w:t> </w:t>
            </w:r>
          </w:p>
        </w:tc>
        <w:tc>
          <w:tcPr>
            <w:tcW w:w="46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shall only vest to the extent that the Warrantholder is currently a board member or employed by the Company or its subsidiaries, if any.</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
        <w:gridCol w:w="5113"/>
        <w:gridCol w:w="60"/>
        <w:gridCol w:w="4740"/>
      </w:tblGrid>
      <w:tr>
        <w:trPr/>
        <w:tc>
          <w:tcPr>
            <w:tcW w:w="29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w:t>
            </w:r>
          </w:p>
        </w:tc>
        <w:tc>
          <w:tcPr>
            <w:tcW w:w="511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UDNYTTELSE </w:t>
            </w:r>
          </w:p>
        </w:tc>
        <w:tc>
          <w:tcPr>
            <w:tcW w:w="60" w:type="dxa"/>
            <w:tcBorders/>
            <w:vAlign w:val="center"/>
          </w:tcPr>
          <w:p>
            <w:pPr>
              <w:pStyle w:val="TableContents"/>
              <w:bidi w:val="0"/>
              <w:spacing w:before="0" w:after="283"/>
              <w:jc w:val="both"/>
              <w:rPr/>
            </w:pPr>
            <w:r>
              <w:rPr/>
              <w:t> </w:t>
            </w:r>
          </w:p>
        </w:tc>
        <w:tc>
          <w:tcPr>
            <w:tcW w:w="47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EXERCISE</w:t>
            </w:r>
          </w:p>
        </w:tc>
      </w:tr>
      <w:tr>
        <w:trPr/>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51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Optjente warrants kan udnyttes i to udnyttelsesperioder årligt på 21 dage. Hvis ikke andet fastsættes af bestyrelsen løber udnyttelsesperioderne i 21 dage fra og med henholdsvis den 1. maj og 1. oktober hvert år i perioden 2021-2031. I hvert af de første 4 udnyttelsesvinduer efter en børsnotering eller ADS listing i USA vil en Warrantindehaver imidlertid maksimalt kunne udnytte 25% af sine samlede warrants (optjente og ikke optjente), forudsat yderligere at disse er optjent, jf. her særligt punkt 4.6 nedenfor. Har Warrantindehaveren færre end 100 optjente warrants, kan disse Warrants altid udnyttes i et enkelt vindue. Herefter vil alle optjente warrants kunne udnyttes i de mulige udnyttelsesvinduer.</w:t>
            </w:r>
          </w:p>
        </w:tc>
        <w:tc>
          <w:tcPr>
            <w:tcW w:w="60" w:type="dxa"/>
            <w:tcBorders/>
            <w:vAlign w:val="center"/>
          </w:tcPr>
          <w:p>
            <w:pPr>
              <w:pStyle w:val="TableContents"/>
              <w:bidi w:val="0"/>
              <w:spacing w:before="0" w:after="283"/>
              <w:jc w:val="both"/>
              <w:rPr/>
            </w:pPr>
            <w:r>
              <w:rPr/>
              <w:t> </w:t>
            </w:r>
          </w:p>
        </w:tc>
        <w:tc>
          <w:tcPr>
            <w:tcW w:w="4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 warrants may be exercised in two annual exercise periods that run for 21 days. Unless the board of directors determines otherwise the exercise periods will run for 21 days from and including respectively 1 May and 1 October each year during the period 2021-2031. In each of the first 4 exercise windows following a listing of the Company’s shares or an ADS listing a Warrantholder shall, however, only be entitled to exercise 25% of his/her warrants (vested and unvested), provided further that these are vested, see also clause 4.6 below. If the Warrantholder holds less than 100 vested warrants the warrants can always exercised in one separate window. After these 4 first exercise windows all vested warrants can be exercised in a window.</w:t>
            </w:r>
          </w:p>
        </w:tc>
      </w:tr>
      <w:tr>
        <w:trPr/>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51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den sidste dag i en udnyttelsesperiode er en lørdag eller en søndag, omfatter udnyttelsesperioden også den herefter førstkommende hverdag.</w:t>
            </w:r>
          </w:p>
        </w:tc>
        <w:tc>
          <w:tcPr>
            <w:tcW w:w="60" w:type="dxa"/>
            <w:tcBorders/>
            <w:vAlign w:val="center"/>
          </w:tcPr>
          <w:p>
            <w:pPr>
              <w:pStyle w:val="TableContents"/>
              <w:bidi w:val="0"/>
              <w:spacing w:before="0" w:after="283"/>
              <w:jc w:val="both"/>
              <w:rPr/>
            </w:pPr>
            <w:r>
              <w:rPr/>
              <w:t> </w:t>
            </w:r>
          </w:p>
        </w:tc>
        <w:tc>
          <w:tcPr>
            <w:tcW w:w="4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last day of an exercise period is a Saturday or Sunday, the exercise period shall also include the first weekday immediately following the stipulated period.</w:t>
            </w:r>
          </w:p>
        </w:tc>
      </w:tr>
      <w:tr>
        <w:trPr/>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4.3.</w:t>
            </w:r>
          </w:p>
        </w:tc>
        <w:tc>
          <w:tcPr>
            <w:tcW w:w="51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 kan frit vælge, i hvilken udnyttelsesperiode optjente warrants skal udnyttes, jf. dog punkt 4.5 nedenfor vedrørende væsentlig misligholdelse. Det er dog en betingelse for udnyttelsen, at Warrantindehaveren i en given udnyttelsesperiode udnytter optjente warrants, der giver ret til tegning af minimum nominelt DKK 100 aktier i Selskabet (eller det mindre antal, som Warrantindehaveren er blevet tildelt, eller som Warrantindehaveren fortsat ejer).</w:t>
            </w:r>
          </w:p>
        </w:tc>
        <w:tc>
          <w:tcPr>
            <w:tcW w:w="60" w:type="dxa"/>
            <w:tcBorders/>
            <w:vAlign w:val="center"/>
          </w:tcPr>
          <w:p>
            <w:pPr>
              <w:pStyle w:val="TableContents"/>
              <w:bidi w:val="0"/>
              <w:spacing w:before="0" w:after="283"/>
              <w:jc w:val="both"/>
              <w:rPr/>
            </w:pPr>
            <w:r>
              <w:rPr/>
              <w:t> </w:t>
            </w:r>
          </w:p>
        </w:tc>
        <w:tc>
          <w:tcPr>
            <w:tcW w:w="4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Warrantholder shall be free to choose in which exercise vested warrants shall be exercised, cf. however, clause 4.5 below regarding material breach. It is, however, a condition for exercise that the Warrantholder in a given exercise period exercises vested warrants, which provides for subscription of minimum nominal DKK 100 shares in the Company (or such lower amount as the Warrantholder has been granted or still holds).</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
        <w:gridCol w:w="5091"/>
        <w:gridCol w:w="60"/>
        <w:gridCol w:w="4761"/>
      </w:tblGrid>
      <w:tr>
        <w:trPr/>
        <w:tc>
          <w:tcPr>
            <w:tcW w:w="2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4.4.</w:t>
            </w:r>
          </w:p>
        </w:tc>
        <w:tc>
          <w:tcPr>
            <w:tcW w:w="50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warrants, som Warrantindehaveren ikke udnytter i den sidste udnyttelsesperiode, bortfalder uden yderligere varsel og uden kompensation eller vederlag af nogen art til Warrantindehaveren.</w:t>
            </w:r>
          </w:p>
        </w:tc>
        <w:tc>
          <w:tcPr>
            <w:tcW w:w="60" w:type="dxa"/>
            <w:tcBorders/>
            <w:vAlign w:val="center"/>
          </w:tcPr>
          <w:p>
            <w:pPr>
              <w:pStyle w:val="TableContents"/>
              <w:bidi w:val="0"/>
              <w:spacing w:before="0" w:after="283"/>
              <w:jc w:val="both"/>
              <w:rPr/>
            </w:pPr>
            <w:r>
              <w:rPr/>
              <w:t> </w:t>
            </w:r>
          </w:p>
        </w:tc>
        <w:tc>
          <w:tcPr>
            <w:tcW w:w="4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Warrants not exercised by the Warrantholder during the last exercise period shall become null and void without further notice and without compensation or payment of any kind to the Warrantholder. </w:t>
            </w:r>
          </w:p>
        </w:tc>
      </w:tr>
      <w:tr>
        <w:trPr/>
        <w:tc>
          <w:tcPr>
            <w:tcW w:w="2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4.5.</w:t>
            </w:r>
          </w:p>
        </w:tc>
        <w:tc>
          <w:tcPr>
            <w:tcW w:w="5091" w:type="dxa"/>
            <w:tcBorders/>
            <w:vAlign w:val="center"/>
          </w:tcPr>
          <w:p>
            <w:pPr>
              <w:pStyle w:val="TableContents"/>
              <w:bidi w:val="0"/>
              <w:spacing w:before="0" w:after="283"/>
              <w:jc w:val="both"/>
              <w:rPr/>
            </w:pPr>
            <w:r>
              <w:rPr/>
              <w:t>Warrantindehaverens udnyttelse af warrants forudsætter som udgangspunkt, at Warrantindehaveren er ansat i Selskabet eller et koncernforbundet selskab på det tidspunkt, hvor warrants udnyttes. I tilfælde af ansættelsesforholdets ophør gælder de i punkt 5 nedenfor indeholdte bestemmelser.</w:t>
            </w:r>
          </w:p>
        </w:tc>
        <w:tc>
          <w:tcPr>
            <w:tcW w:w="60" w:type="dxa"/>
            <w:tcBorders/>
            <w:vAlign w:val="center"/>
          </w:tcPr>
          <w:p>
            <w:pPr>
              <w:pStyle w:val="TableContents"/>
              <w:bidi w:val="0"/>
              <w:spacing w:before="0" w:after="283"/>
              <w:jc w:val="both"/>
              <w:rPr/>
            </w:pPr>
            <w:r>
              <w:rPr/>
              <w:t> </w:t>
            </w:r>
          </w:p>
        </w:tc>
        <w:tc>
          <w:tcPr>
            <w:tcW w:w="4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Warrantholder’s exercise of warrants shall generally require that the Warrantholder is employed by the Company or any affiliated group company at the time of exercise. In the event of termination of the employment the terms and conditions included in clause 5 below shall apply. </w:t>
            </w:r>
          </w:p>
        </w:tc>
      </w:tr>
      <w:tr>
        <w:trPr/>
        <w:tc>
          <w:tcPr>
            <w:tcW w:w="2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4.6.</w:t>
            </w:r>
          </w:p>
        </w:tc>
        <w:tc>
          <w:tcPr>
            <w:tcW w:w="50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Selskabets bestyrelse er i tilfælde af at Selskabet børsnoteres eller der noteres ADS’er i USA berettiget til énsidigt at ændre udnyttelsesperioderne, således at udnyttelsesperioderne tilpasses de til enhver tid gældende regler for insiderhandel, hvilket medmindre bestyrelsen beslutter andet vil sige at der vil være fire udnyttelsesperioder på to uger hver, som ligger umiddelbart efter selskabets aflæggelse af årsrapporten, kvartalsrapporterne og halvårsrapporten.</w:t>
            </w:r>
          </w:p>
        </w:tc>
        <w:tc>
          <w:tcPr>
            <w:tcW w:w="60" w:type="dxa"/>
            <w:tcBorders/>
            <w:vAlign w:val="center"/>
          </w:tcPr>
          <w:p>
            <w:pPr>
              <w:pStyle w:val="TableContents"/>
              <w:bidi w:val="0"/>
              <w:spacing w:before="0" w:after="283"/>
              <w:jc w:val="both"/>
              <w:rPr/>
            </w:pPr>
            <w:r>
              <w:rPr/>
              <w:t> </w:t>
            </w:r>
          </w:p>
        </w:tc>
        <w:tc>
          <w:tcPr>
            <w:tcW w:w="4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the event of a listing of the Company’s shares, or an ADS listing on a stock exchange, the Company’s board of directors, at its discretion, is entitled to change the exercise periods in order to adapt to applicable rules on insider trading, which unless the board of directors determine otherwise will mean that there will be four exercise periods of two weeks each following respectively the reporting of an annual report, quarterly reports and the interim 6-months’ report. </w:t>
            </w:r>
          </w:p>
        </w:tc>
      </w:tr>
      <w:tr>
        <w:trPr/>
        <w:tc>
          <w:tcPr>
            <w:tcW w:w="2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4.7.</w:t>
            </w:r>
          </w:p>
        </w:tc>
        <w:tc>
          <w:tcPr>
            <w:tcW w:w="50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forbindelse med en notering af ADS’er på Nasdaq, USA, har Selskabets bestyrelse i henhold til pkt. 4.1 truffet beslutning om at fastsætte udnyttelsesvinduerne for udstedte warrants således:</w:t>
            </w:r>
          </w:p>
        </w:tc>
        <w:tc>
          <w:tcPr>
            <w:tcW w:w="60" w:type="dxa"/>
            <w:tcBorders/>
            <w:vAlign w:val="center"/>
          </w:tcPr>
          <w:p>
            <w:pPr>
              <w:pStyle w:val="TableContents"/>
              <w:bidi w:val="0"/>
              <w:spacing w:before="0" w:after="283"/>
              <w:jc w:val="both"/>
              <w:rPr/>
            </w:pPr>
            <w:r>
              <w:rPr/>
              <w:t> </w:t>
            </w:r>
          </w:p>
        </w:tc>
        <w:tc>
          <w:tcPr>
            <w:tcW w:w="4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connection with a listing of ADSs on Nasdaq, USA, the board of directors has resolved, pursuant to clause 4.1, to determine the exercise windows for issued warrants as follows:</w:t>
            </w:r>
          </w:p>
        </w:tc>
      </w:tr>
      <w:tr>
        <w:trPr/>
        <w:tc>
          <w:tcPr>
            <w:tcW w:w="293" w:type="dxa"/>
            <w:tcBorders/>
            <w:vAlign w:val="center"/>
          </w:tcPr>
          <w:p>
            <w:pPr>
              <w:pStyle w:val="TableContents"/>
              <w:bidi w:val="0"/>
              <w:spacing w:before="0" w:after="283"/>
              <w:jc w:val="both"/>
              <w:rPr/>
            </w:pPr>
            <w:r>
              <w:rPr/>
              <w:t> </w:t>
            </w:r>
          </w:p>
        </w:tc>
        <w:tc>
          <w:tcPr>
            <w:tcW w:w="50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Optjente warrants kan udnyttes i fire årlige udnyttelsesvinduer på 2 uger, som hver ligger to handelsdage efter offentliggørelsen af henholdsvis Selskabets årsrapport, halvårsregnskabet samt kvartalsmeddelelserne. Første udnyttelsesperiode indtræder dog tidligst 180 dage efter Selskabets notering af ADS’er på Nasdaq, USA, og i de første fire udnyttelsesperioder kan warrantindehaveren maksimalt udnytte 25% af de til warrantindehaveren tildelte warrants forudsat altid at warrants er optjent. </w:t>
            </w:r>
          </w:p>
        </w:tc>
        <w:tc>
          <w:tcPr>
            <w:tcW w:w="60" w:type="dxa"/>
            <w:tcBorders/>
            <w:vAlign w:val="center"/>
          </w:tcPr>
          <w:p>
            <w:pPr>
              <w:pStyle w:val="TableContents"/>
              <w:bidi w:val="0"/>
              <w:spacing w:before="0" w:after="283"/>
              <w:jc w:val="both"/>
              <w:rPr/>
            </w:pPr>
            <w:r>
              <w:rPr/>
              <w:t> </w:t>
            </w:r>
          </w:p>
        </w:tc>
        <w:tc>
          <w:tcPr>
            <w:tcW w:w="4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Vested warrants may be exercise in four annual exercise windows of two weeks each that each commence two trading days following publication of the Company’s annual report, the 6-month report and the interim reports. The first exercise window shall, however, be at least 180 days following the listing by the Company of ADSs on Nasdaq, USA and in the first four exercise periods the warrantholder may as a maximum exercise 25% of the warrants granted to the respective warrantholders, provided always that the warrants have vested.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
        <w:gridCol w:w="5203"/>
        <w:gridCol w:w="60"/>
        <w:gridCol w:w="4649"/>
      </w:tblGrid>
      <w:tr>
        <w:trPr/>
        <w:tc>
          <w:tcPr>
            <w:tcW w:w="29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5.</w:t>
            </w:r>
          </w:p>
        </w:tc>
        <w:tc>
          <w:tcPr>
            <w:tcW w:w="520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FRATRÆDEN </w:t>
            </w:r>
          </w:p>
        </w:tc>
        <w:tc>
          <w:tcPr>
            <w:tcW w:w="60" w:type="dxa"/>
            <w:tcBorders/>
            <w:vAlign w:val="center"/>
          </w:tcPr>
          <w:p>
            <w:pPr>
              <w:pStyle w:val="TableContents"/>
              <w:bidi w:val="0"/>
              <w:spacing w:before="0" w:after="283"/>
              <w:jc w:val="both"/>
              <w:rPr/>
            </w:pPr>
            <w:r>
              <w:rPr/>
              <w:t> </w:t>
            </w:r>
          </w:p>
        </w:tc>
        <w:tc>
          <w:tcPr>
            <w:tcW w:w="464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RESIGNATION </w:t>
            </w:r>
          </w:p>
        </w:tc>
      </w:tr>
      <w:tr>
        <w:trPr/>
        <w:tc>
          <w:tcPr>
            <w:tcW w:w="2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w:t>
            </w:r>
          </w:p>
        </w:tc>
        <w:tc>
          <w:tcPr>
            <w:tcW w:w="5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Warrantindehaverens udnyttelse af optjente warrants er reguleret ovenfor i punkt 4.</w:t>
            </w:r>
          </w:p>
        </w:tc>
        <w:tc>
          <w:tcPr>
            <w:tcW w:w="60" w:type="dxa"/>
            <w:tcBorders/>
            <w:vAlign w:val="center"/>
          </w:tcPr>
          <w:p>
            <w:pPr>
              <w:pStyle w:val="TableContents"/>
              <w:bidi w:val="0"/>
              <w:spacing w:before="0" w:after="283"/>
              <w:jc w:val="both"/>
              <w:rPr/>
            </w:pPr>
            <w:r>
              <w:rPr/>
              <w:t> </w:t>
            </w:r>
          </w:p>
        </w:tc>
        <w:tc>
          <w:tcPr>
            <w:tcW w:w="46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Warrantholder’s exercise of vested warrants is regulated above in section 4. </w:t>
            </w:r>
          </w:p>
        </w:tc>
      </w:tr>
      <w:tr>
        <w:trPr/>
        <w:tc>
          <w:tcPr>
            <w:tcW w:w="293" w:type="dxa"/>
            <w:tcBorders/>
            <w:vAlign w:val="center"/>
          </w:tcPr>
          <w:p>
            <w:pPr>
              <w:pStyle w:val="TableContents"/>
              <w:bidi w:val="0"/>
              <w:spacing w:before="0" w:after="283"/>
              <w:jc w:val="both"/>
              <w:rPr/>
            </w:pPr>
            <w:r>
              <w:rPr/>
              <w:t> </w:t>
            </w:r>
          </w:p>
        </w:tc>
        <w:tc>
          <w:tcPr>
            <w:tcW w:w="5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tilfælde af bestyrelseshvervets eller ansættelsesforholdets ophør bevarer Warrantindehaveren retten til at udnytte warrants, som allerede er optjente på tidspunktet for bestyrelseshvervet eller ansættelsesforholdets ophør, dvs. fra og med den første dag, hvor Warrantindehaveren ikke længere har krav på at modtage honorar eller løn fra Selskabet, uanset om Warrantindehaveren faktisk ophører med at fungere på et tidligere tidspunkt, samt retten til at udnytte eventuelle warrants, som senere måtte blive optjent i henhold til punkt 3 ovenfor.</w:t>
            </w:r>
          </w:p>
        </w:tc>
        <w:tc>
          <w:tcPr>
            <w:tcW w:w="60" w:type="dxa"/>
            <w:tcBorders/>
            <w:vAlign w:val="center"/>
          </w:tcPr>
          <w:p>
            <w:pPr>
              <w:pStyle w:val="TableContents"/>
              <w:bidi w:val="0"/>
              <w:spacing w:before="0" w:after="283"/>
              <w:jc w:val="both"/>
              <w:rPr/>
            </w:pPr>
            <w:r>
              <w:rPr/>
              <w:t> </w:t>
            </w:r>
          </w:p>
        </w:tc>
        <w:tc>
          <w:tcPr>
            <w:tcW w:w="46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the event of termination of the board position or employment, the Warrantholder keeps his/her right to exercise warrants already vested at the time the board position or employment is terminated, meaning from the first day when the Warrantholder is no longer entitled to a salary or fees from the Company, notwithstanding that the Warrantholder has actually ceased to perform his/her duties at an earlier date, as well as his/her right to exercise any warrants that may vest later pursuant to section 3 above. </w:t>
            </w:r>
          </w:p>
        </w:tc>
      </w:tr>
      <w:tr>
        <w:trPr/>
        <w:tc>
          <w:tcPr>
            <w:tcW w:w="2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5.2.</w:t>
            </w:r>
          </w:p>
        </w:tc>
        <w:tc>
          <w:tcPr>
            <w:tcW w:w="5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Uanset det ovenfor anførte gælder, at såfremt bestyrelseshvervet eller ansættelsesforholdet med Warrantindehaveren bringes til ophør af Selskabet som en følge af Warrantindehaverens misligholdelse, bortfalder alle warrants (optjente og ikke-optjente) dog uden yderligere varsel og uden kompensation eller vederlag af nogen art til Warrantindehaveren.</w:t>
            </w:r>
          </w:p>
        </w:tc>
        <w:tc>
          <w:tcPr>
            <w:tcW w:w="60" w:type="dxa"/>
            <w:tcBorders/>
            <w:vAlign w:val="center"/>
          </w:tcPr>
          <w:p>
            <w:pPr>
              <w:pStyle w:val="TableContents"/>
              <w:bidi w:val="0"/>
              <w:spacing w:before="0" w:after="283"/>
              <w:jc w:val="both"/>
              <w:rPr/>
            </w:pPr>
            <w:r>
              <w:rPr/>
              <w:t> </w:t>
            </w:r>
          </w:p>
        </w:tc>
        <w:tc>
          <w:tcPr>
            <w:tcW w:w="46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Irrespective of the above, if the Company terminates the board membership or employment contract due to the Warrantholder’s breach of contract, all warrants (vested and unvested) shall become null and void without further notice and without compensation or payment of any kind to the Warrantholder. </w:t>
            </w:r>
          </w:p>
        </w:tc>
      </w:tr>
      <w:tr>
        <w:trPr/>
        <w:tc>
          <w:tcPr>
            <w:tcW w:w="29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6.</w:t>
            </w:r>
          </w:p>
        </w:tc>
        <w:tc>
          <w:tcPr>
            <w:tcW w:w="5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JUSTERING AF WARRANTS</w:t>
            </w:r>
            <w:r>
              <w:rPr>
                <w:rFonts w:ascii="Times New Roman;Times;Serif" w:hAnsi="Times New Roman;Times;Serif"/>
                <w:sz w:val="20"/>
              </w:rPr>
              <w:t xml:space="preserve"> </w:t>
            </w:r>
          </w:p>
        </w:tc>
        <w:tc>
          <w:tcPr>
            <w:tcW w:w="60" w:type="dxa"/>
            <w:tcBorders/>
            <w:vAlign w:val="center"/>
          </w:tcPr>
          <w:p>
            <w:pPr>
              <w:pStyle w:val="TableContents"/>
              <w:bidi w:val="0"/>
              <w:spacing w:before="0" w:after="283"/>
              <w:jc w:val="both"/>
              <w:rPr/>
            </w:pPr>
            <w:r>
              <w:rPr/>
              <w:t> </w:t>
            </w:r>
          </w:p>
        </w:tc>
        <w:tc>
          <w:tcPr>
            <w:tcW w:w="46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ADJUSTMENT OF WARRANTS</w:t>
            </w:r>
            <w:r>
              <w:rPr>
                <w:rFonts w:ascii="Times New Roman;Times;Serif" w:hAnsi="Times New Roman;Times;Serif"/>
                <w:sz w:val="20"/>
              </w:rPr>
              <w:t xml:space="preserve"> </w:t>
            </w:r>
          </w:p>
        </w:tc>
      </w:tr>
      <w:tr>
        <w:trPr/>
        <w:tc>
          <w:tcPr>
            <w:tcW w:w="2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w:t>
            </w:r>
          </w:p>
        </w:tc>
        <w:tc>
          <w:tcPr>
            <w:tcW w:w="5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Hvis der sker ændringer i Selskabets kapitalforhold, der medfører en ændring af den potentielle gevinstmulighed, der er knyttet til en warrant, skal warrants justeres i henhold til nærværende punkt 6. </w:t>
            </w:r>
          </w:p>
        </w:tc>
        <w:tc>
          <w:tcPr>
            <w:tcW w:w="60" w:type="dxa"/>
            <w:tcBorders/>
            <w:vAlign w:val="center"/>
          </w:tcPr>
          <w:p>
            <w:pPr>
              <w:pStyle w:val="TableContents"/>
              <w:bidi w:val="0"/>
              <w:spacing w:before="0" w:after="283"/>
              <w:jc w:val="both"/>
              <w:rPr/>
            </w:pPr>
            <w:r>
              <w:rPr/>
              <w:t> </w:t>
            </w:r>
          </w:p>
        </w:tc>
        <w:tc>
          <w:tcPr>
            <w:tcW w:w="46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Changes in the Company’s capital structure causing a change of the potential possibility of gain attached to a warrant shall require an adjustment of the warrants in accordance with this clause 6.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
        <w:gridCol w:w="5403"/>
        <w:gridCol w:w="60"/>
        <w:gridCol w:w="4450"/>
      </w:tblGrid>
      <w:tr>
        <w:trPr/>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w:t>
            </w:r>
          </w:p>
        </w:tc>
        <w:tc>
          <w:tcPr>
            <w:tcW w:w="5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En justering skal ske, således at den potentielle gevinstmulighed, der er knyttet til en warrant, så vidt muligt er den samme som før og efter indtræden af den hændelse, der begrunder justeringen. Justeringen gennemføres med bistand fra Selskabets eksterne rådgiver. Justeringen kan ske enten ved en forøgelse eller en formindskelse af det antal aktier, der kan udstedes i henhold til en warrant, og/eller en forøgelse eller formindskelse af udnyttelseskursen. </w:t>
            </w:r>
          </w:p>
        </w:tc>
        <w:tc>
          <w:tcPr>
            <w:tcW w:w="60" w:type="dxa"/>
            <w:tcBorders/>
            <w:vAlign w:val="center"/>
          </w:tcPr>
          <w:p>
            <w:pPr>
              <w:pStyle w:val="TableContents"/>
              <w:bidi w:val="0"/>
              <w:spacing w:before="0" w:after="283"/>
              <w:jc w:val="both"/>
              <w:rPr/>
            </w:pPr>
            <w:r>
              <w:rPr/>
              <w:t> </w:t>
            </w:r>
          </w:p>
        </w:tc>
        <w:tc>
          <w:tcPr>
            <w:tcW w:w="4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Adjustments shall be made so that the potential possibility of gain attached to a warrant, in so far as possible, shall remain the same before and after the occurrence of the incident causing the adjustment. The adjustment shall be carried out with the assistance of the Company’s external advisor. The adjustment may be effected either by an increase or decrease of the number of shares that can be issued following an exercise of a warrant and/or an increase or decrease of the exercise price. </w:t>
            </w:r>
          </w:p>
        </w:tc>
      </w:tr>
      <w:tr>
        <w:trPr/>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6.3.</w:t>
            </w:r>
          </w:p>
        </w:tc>
        <w:tc>
          <w:tcPr>
            <w:tcW w:w="54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Selskabets udstedelse af medarbejderaktier, aktieoptioner og/eller yderligere warrants som led i medarbejderaktieordninger (herunder til bestyrelsesmedlemmer) såvel som senere udnyttelse af sådanne optioner og/eller warrants, medfører ikke krav på justering af warrants. Den kapitalforhøjelse, der finder sted som følge af Warrantindehavernes udnyttelse af warrants i Selskabet, medfører heller ikke justering af warrants. Herudover skal warrantindehaveren, uanset punkt 6.5, ikke være berettiget til justering, såfremt der sker aktieudstedelser til under markedskurs, som en følge af eksempelvis udvandingsbestemmelser i den for Selskabets aktionærers gældende ejeraftale som medfører en udvanding af Selskabets ordinære aktier eller ved konvertering af konvertible obligationer, som blev udstedt til markedskurs, uanset, at selve konverteringen sker til favørkurs på konverteringstidspunktet. </w:t>
            </w:r>
          </w:p>
        </w:tc>
        <w:tc>
          <w:tcPr>
            <w:tcW w:w="60" w:type="dxa"/>
            <w:tcBorders/>
            <w:vAlign w:val="center"/>
          </w:tcPr>
          <w:p>
            <w:pPr>
              <w:pStyle w:val="TableContents"/>
              <w:bidi w:val="0"/>
              <w:spacing w:before="0" w:after="283"/>
              <w:jc w:val="both"/>
              <w:rPr/>
            </w:pPr>
            <w:r>
              <w:rPr/>
              <w:t> </w:t>
            </w:r>
          </w:p>
        </w:tc>
        <w:tc>
          <w:tcPr>
            <w:tcW w:w="4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Warrants shall not be adjusted as a result of the Company’s issue of additional employee shares, share options and/or warrants as part of employee share option program (including options to board members) as well as future exercise of such options and/or warrants. Warrants shall, furthermore, not be adjusted as a result of capital increases following the Warrantholders’ and others’ exercise of warrants in the Company. In addition the Warrantholder shall, irrespective of clause 6.5, not be entitled to adjustments in the event of capital increases below market price if e.g. anti-dilution provisions in the shareholders´ agreement for the Company´s shareholders results in a dilution of the Company´s ordinary shares or in connection with convertible bonds, issued at market price, irrespective of whether the conversion itself takes place at a discount upon conversion. </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6"/>
        <w:gridCol w:w="4881"/>
        <w:gridCol w:w="60"/>
        <w:gridCol w:w="4968"/>
      </w:tblGrid>
      <w:tr>
        <w:trPr/>
        <w:tc>
          <w:tcPr>
            <w:tcW w:w="296" w:type="dxa"/>
            <w:tcBorders/>
            <w:vAlign w:val="center"/>
          </w:tcPr>
          <w:p>
            <w:pPr>
              <w:pStyle w:val="TableContents"/>
              <w:bidi w:val="0"/>
              <w:spacing w:before="0" w:after="283"/>
              <w:jc w:val="both"/>
              <w:rPr/>
            </w:pPr>
            <w:r>
              <w:rPr/>
              <w:t> </w:t>
            </w:r>
          </w:p>
        </w:tc>
        <w:tc>
          <w:tcPr>
            <w:tcW w:w="4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Enhver regulering af udnyttelseskursen og/eller det antal aktier som kan tegnes ved udnyttelse af warrants i henhold til dette pkt. 6 skal alene gælde for warrants, som endnu ikke er udnyttet på det tidspunkt, der medfører en regulering. Allerede udnyttede warrants påvirkes ikke af reguleringer. </w:t>
            </w:r>
          </w:p>
        </w:tc>
        <w:tc>
          <w:tcPr>
            <w:tcW w:w="60" w:type="dxa"/>
            <w:tcBorders/>
            <w:vAlign w:val="center"/>
          </w:tcPr>
          <w:p>
            <w:pPr>
              <w:pStyle w:val="TableContents"/>
              <w:bidi w:val="0"/>
              <w:spacing w:before="0" w:after="283"/>
              <w:jc w:val="both"/>
              <w:rPr/>
            </w:pPr>
            <w:r>
              <w:rPr/>
              <w:t> </w:t>
            </w:r>
          </w:p>
        </w:tc>
        <w:tc>
          <w:tcPr>
            <w:tcW w:w="4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adjustments of the exercise price and/or and/or the number of shares that can be subscribed for by exercising the warrants pursuant to this clause 6 shall only apply to warrants not exercised by the Warrantholder at the time of the event triggering the adjustment. No adjustment shall affect already exercised warrants. </w:t>
            </w:r>
          </w:p>
        </w:tc>
      </w:tr>
      <w:tr>
        <w:trPr/>
        <w:tc>
          <w:tcPr>
            <w:tcW w:w="2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6.4.</w:t>
            </w:r>
          </w:p>
        </w:tc>
        <w:tc>
          <w:tcPr>
            <w:tcW w:w="4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Fondsaktier:</w:t>
            </w:r>
            <w:r>
              <w:rPr>
                <w:rFonts w:ascii="Times New Roman;Times;Serif" w:hAnsi="Times New Roman;Times;Serif"/>
                <w:sz w:val="20"/>
              </w:rPr>
              <w:t xml:space="preserve"> </w:t>
            </w:r>
          </w:p>
        </w:tc>
        <w:tc>
          <w:tcPr>
            <w:tcW w:w="60" w:type="dxa"/>
            <w:tcBorders/>
            <w:vAlign w:val="center"/>
          </w:tcPr>
          <w:p>
            <w:pPr>
              <w:pStyle w:val="TableContents"/>
              <w:bidi w:val="0"/>
              <w:spacing w:before="0" w:after="283"/>
              <w:jc w:val="both"/>
              <w:rPr/>
            </w:pPr>
            <w:r>
              <w:rPr/>
              <w:t> </w:t>
            </w:r>
          </w:p>
        </w:tc>
        <w:tc>
          <w:tcPr>
            <w:tcW w:w="4968"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 xml:space="preserve">Bonus Shares </w:t>
            </w:r>
          </w:p>
        </w:tc>
      </w:tr>
      <w:tr>
        <w:trPr/>
        <w:tc>
          <w:tcPr>
            <w:tcW w:w="296" w:type="dxa"/>
            <w:tcBorders/>
            <w:vAlign w:val="center"/>
          </w:tcPr>
          <w:p>
            <w:pPr>
              <w:pStyle w:val="TableContents"/>
              <w:bidi w:val="0"/>
              <w:spacing w:before="0" w:after="283"/>
              <w:jc w:val="both"/>
              <w:rPr/>
            </w:pPr>
            <w:r>
              <w:rPr/>
              <w:t> </w:t>
            </w:r>
          </w:p>
        </w:tc>
        <w:tc>
          <w:tcPr>
            <w:tcW w:w="4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Hvis det besluttes at udstede fondsaktier i Selskabet, skal warrants justeres således: </w:t>
            </w:r>
          </w:p>
        </w:tc>
        <w:tc>
          <w:tcPr>
            <w:tcW w:w="60" w:type="dxa"/>
            <w:tcBorders/>
            <w:vAlign w:val="center"/>
          </w:tcPr>
          <w:p>
            <w:pPr>
              <w:pStyle w:val="TableContents"/>
              <w:bidi w:val="0"/>
              <w:spacing w:before="0" w:after="283"/>
              <w:jc w:val="both"/>
              <w:rPr/>
            </w:pPr>
            <w:r>
              <w:rPr/>
              <w:t> </w:t>
            </w:r>
          </w:p>
        </w:tc>
        <w:tc>
          <w:tcPr>
            <w:tcW w:w="4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it is decided to issue bonus shares in the Company, warrants shall be adjusted as follows: </w:t>
            </w:r>
          </w:p>
        </w:tc>
      </w:tr>
      <w:tr>
        <w:trPr/>
        <w:tc>
          <w:tcPr>
            <w:tcW w:w="296" w:type="dxa"/>
            <w:tcBorders/>
            <w:vAlign w:val="center"/>
          </w:tcPr>
          <w:p>
            <w:pPr>
              <w:pStyle w:val="TableContents"/>
              <w:bidi w:val="0"/>
              <w:spacing w:before="0" w:after="283"/>
              <w:jc w:val="both"/>
              <w:rPr/>
            </w:pPr>
            <w:r>
              <w:rPr/>
              <w:t> </w:t>
            </w:r>
          </w:p>
        </w:tc>
        <w:tc>
          <w:tcPr>
            <w:tcW w:w="4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Udnyttelsesprisen på enhver endnu ikke udnyttet warrant ganges med faktoren: </w:t>
            </w:r>
          </w:p>
        </w:tc>
        <w:tc>
          <w:tcPr>
            <w:tcW w:w="60" w:type="dxa"/>
            <w:tcBorders/>
            <w:vAlign w:val="center"/>
          </w:tcPr>
          <w:p>
            <w:pPr>
              <w:pStyle w:val="TableContents"/>
              <w:bidi w:val="0"/>
              <w:spacing w:before="0" w:after="283"/>
              <w:jc w:val="both"/>
              <w:rPr/>
            </w:pPr>
            <w:r>
              <w:rPr/>
              <w:t> </w:t>
            </w:r>
          </w:p>
        </w:tc>
        <w:tc>
          <w:tcPr>
            <w:tcW w:w="4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exercise price for each warrant not yet exercised shall be multiplied by the factor: </w:t>
            </w:r>
          </w:p>
        </w:tc>
      </w:tr>
      <w:tr>
        <w:trPr/>
        <w:tc>
          <w:tcPr>
            <w:tcW w:w="296" w:type="dxa"/>
            <w:tcBorders/>
            <w:vAlign w:val="center"/>
          </w:tcPr>
          <w:p>
            <w:pPr>
              <w:pStyle w:val="TableContents"/>
              <w:bidi w:val="0"/>
              <w:spacing w:before="0" w:after="283"/>
              <w:jc w:val="both"/>
              <w:rPr/>
            </w:pPr>
            <w:r>
              <w:rPr/>
              <w:t> </w:t>
            </w:r>
          </w:p>
        </w:tc>
        <w:tc>
          <w:tcPr>
            <w:tcW w:w="4881" w:type="dxa"/>
            <w:tcBorders/>
            <w:vAlign w:val="center"/>
          </w:tcPr>
          <w:p>
            <w:pPr>
              <w:pStyle w:val="TableContents"/>
              <w:bidi w:val="0"/>
              <w:spacing w:before="0" w:after="283"/>
              <w:jc w:val="both"/>
              <w:rPr/>
            </w:pPr>
            <w:r>
              <w:rPr/>
              <w:drawing>
                <wp:inline distT="0" distB="0" distL="0" distR="0">
                  <wp:extent cx="666750" cy="311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 cy="311150"/>
                          </a:xfrm>
                          <a:prstGeom prst="rect">
                            <a:avLst/>
                          </a:prstGeom>
                        </pic:spPr>
                      </pic:pic>
                    </a:graphicData>
                  </a:graphic>
                </wp:inline>
              </w:drawing>
            </w:r>
            <w:r>
              <w:rPr/>
              <w:t> </w:t>
            </w:r>
          </w:p>
        </w:tc>
        <w:tc>
          <w:tcPr>
            <w:tcW w:w="60" w:type="dxa"/>
            <w:tcBorders/>
            <w:vAlign w:val="center"/>
          </w:tcPr>
          <w:p>
            <w:pPr>
              <w:pStyle w:val="TableContents"/>
              <w:bidi w:val="0"/>
              <w:spacing w:before="0" w:after="283"/>
              <w:jc w:val="both"/>
              <w:rPr/>
            </w:pPr>
            <w:r>
              <w:rPr/>
              <w:t> </w:t>
            </w:r>
          </w:p>
        </w:tc>
        <w:tc>
          <w:tcPr>
            <w:tcW w:w="4968" w:type="dxa"/>
            <w:tcBorders/>
            <w:vAlign w:val="center"/>
          </w:tcPr>
          <w:p>
            <w:pPr>
              <w:pStyle w:val="TableContents"/>
              <w:bidi w:val="0"/>
              <w:spacing w:before="0" w:after="283"/>
              <w:jc w:val="both"/>
              <w:rPr/>
            </w:pPr>
            <w:r>
              <w:rPr/>
              <w:drawing>
                <wp:inline distT="0" distB="0" distL="0" distR="0">
                  <wp:extent cx="666750" cy="311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6750" cy="311150"/>
                          </a:xfrm>
                          <a:prstGeom prst="rect">
                            <a:avLst/>
                          </a:prstGeom>
                        </pic:spPr>
                      </pic:pic>
                    </a:graphicData>
                  </a:graphic>
                </wp:inline>
              </w:drawing>
            </w:r>
            <w:r>
              <w:rPr/>
              <w:t> </w:t>
            </w:r>
          </w:p>
        </w:tc>
      </w:tr>
      <w:tr>
        <w:trPr/>
        <w:tc>
          <w:tcPr>
            <w:tcW w:w="296" w:type="dxa"/>
            <w:tcBorders/>
            <w:vAlign w:val="center"/>
          </w:tcPr>
          <w:p>
            <w:pPr>
              <w:pStyle w:val="TableContents"/>
              <w:bidi w:val="0"/>
              <w:spacing w:before="0" w:after="283"/>
              <w:jc w:val="both"/>
              <w:rPr/>
            </w:pPr>
            <w:r>
              <w:rPr/>
              <w:t> </w:t>
            </w:r>
          </w:p>
        </w:tc>
        <w:tc>
          <w:tcPr>
            <w:tcW w:w="4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og antallet af endnu ikke udnyttede warrants ganges med faktoren: </w:t>
            </w:r>
          </w:p>
        </w:tc>
        <w:tc>
          <w:tcPr>
            <w:tcW w:w="60" w:type="dxa"/>
            <w:tcBorders/>
            <w:vAlign w:val="center"/>
          </w:tcPr>
          <w:p>
            <w:pPr>
              <w:pStyle w:val="TableContents"/>
              <w:bidi w:val="0"/>
              <w:spacing w:before="0" w:after="283"/>
              <w:jc w:val="both"/>
              <w:rPr/>
            </w:pPr>
            <w:r>
              <w:rPr/>
              <w:t> </w:t>
            </w:r>
          </w:p>
        </w:tc>
        <w:tc>
          <w:tcPr>
            <w:tcW w:w="49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number of warrants not yet exercised shall be multiplied by the factor:</w:t>
            </w:r>
          </w:p>
        </w:tc>
      </w:tr>
      <w:tr>
        <w:trPr/>
        <w:tc>
          <w:tcPr>
            <w:tcW w:w="296" w:type="dxa"/>
            <w:tcBorders/>
            <w:vAlign w:val="center"/>
          </w:tcPr>
          <w:p>
            <w:pPr>
              <w:pStyle w:val="TableContents"/>
              <w:bidi w:val="0"/>
              <w:spacing w:before="0" w:after="283"/>
              <w:jc w:val="both"/>
              <w:rPr/>
            </w:pPr>
            <w:r>
              <w:rPr/>
              <w:t> </w:t>
            </w:r>
          </w:p>
        </w:tc>
        <w:tc>
          <w:tcPr>
            <w:tcW w:w="4881" w:type="dxa"/>
            <w:tcBorders/>
            <w:vAlign w:val="center"/>
          </w:tcPr>
          <w:p>
            <w:pPr>
              <w:pStyle w:val="TableContents"/>
              <w:bidi w:val="0"/>
              <w:spacing w:before="0" w:after="283"/>
              <w:jc w:val="both"/>
              <w:rPr/>
            </w:pPr>
            <w:r>
              <w:rPr/>
              <w:drawing>
                <wp:inline distT="0" distB="0" distL="0" distR="0">
                  <wp:extent cx="177800" cy="273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7800" cy="273050"/>
                          </a:xfrm>
                          <a:prstGeom prst="rect">
                            <a:avLst/>
                          </a:prstGeom>
                        </pic:spPr>
                      </pic:pic>
                    </a:graphicData>
                  </a:graphic>
                </wp:inline>
              </w:drawing>
            </w:r>
            <w:r>
              <w:rPr/>
              <w:t> </w:t>
            </w:r>
          </w:p>
        </w:tc>
        <w:tc>
          <w:tcPr>
            <w:tcW w:w="60" w:type="dxa"/>
            <w:tcBorders/>
            <w:vAlign w:val="center"/>
          </w:tcPr>
          <w:p>
            <w:pPr>
              <w:pStyle w:val="TableContents"/>
              <w:bidi w:val="0"/>
              <w:spacing w:before="0" w:after="283"/>
              <w:jc w:val="both"/>
              <w:rPr/>
            </w:pPr>
            <w:r>
              <w:rPr/>
              <w:t> </w:t>
            </w:r>
          </w:p>
        </w:tc>
        <w:tc>
          <w:tcPr>
            <w:tcW w:w="4968" w:type="dxa"/>
            <w:tcBorders/>
            <w:vAlign w:val="center"/>
          </w:tcPr>
          <w:p>
            <w:pPr>
              <w:pStyle w:val="TableContents"/>
              <w:bidi w:val="0"/>
              <w:spacing w:before="0" w:after="283"/>
              <w:jc w:val="both"/>
              <w:rPr/>
            </w:pPr>
            <w:r>
              <w:rPr/>
              <w:drawing>
                <wp:inline distT="0" distB="0" distL="0" distR="0">
                  <wp:extent cx="177800" cy="273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7800" cy="273050"/>
                          </a:xfrm>
                          <a:prstGeom prst="rect">
                            <a:avLst/>
                          </a:prstGeom>
                        </pic:spPr>
                      </pic:pic>
                    </a:graphicData>
                  </a:graphic>
                </wp:inline>
              </w:drawing>
            </w:r>
            <w:r>
              <w:rPr/>
              <w:t> </w:t>
            </w:r>
          </w:p>
        </w:tc>
      </w:tr>
      <w:tr>
        <w:trPr/>
        <w:tc>
          <w:tcPr>
            <w:tcW w:w="296" w:type="dxa"/>
            <w:tcBorders/>
            <w:vAlign w:val="center"/>
          </w:tcPr>
          <w:p>
            <w:pPr>
              <w:pStyle w:val="TableContents"/>
              <w:bidi w:val="0"/>
              <w:spacing w:before="0" w:after="283"/>
              <w:jc w:val="both"/>
              <w:rPr/>
            </w:pPr>
            <w:r>
              <w:rPr/>
              <w:t> </w:t>
            </w:r>
          </w:p>
        </w:tc>
        <w:tc>
          <w:tcPr>
            <w:tcW w:w="4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hvor: </w:t>
            </w:r>
          </w:p>
        </w:tc>
        <w:tc>
          <w:tcPr>
            <w:tcW w:w="60" w:type="dxa"/>
            <w:tcBorders/>
            <w:vAlign w:val="center"/>
          </w:tcPr>
          <w:p>
            <w:pPr>
              <w:pStyle w:val="TableContents"/>
              <w:bidi w:val="0"/>
              <w:spacing w:before="0" w:after="283"/>
              <w:jc w:val="both"/>
              <w:rPr/>
            </w:pPr>
            <w:r>
              <w:rPr/>
              <w:t> </w:t>
            </w:r>
          </w:p>
        </w:tc>
        <w:tc>
          <w:tcPr>
            <w:tcW w:w="4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where: </w:t>
            </w:r>
          </w:p>
        </w:tc>
      </w:tr>
      <w:tr>
        <w:trPr/>
        <w:tc>
          <w:tcPr>
            <w:tcW w:w="296" w:type="dxa"/>
            <w:tcBorders/>
            <w:vAlign w:val="center"/>
          </w:tcPr>
          <w:p>
            <w:pPr>
              <w:pStyle w:val="TableContents"/>
              <w:bidi w:val="0"/>
              <w:spacing w:before="0" w:after="283"/>
              <w:jc w:val="both"/>
              <w:rPr/>
            </w:pPr>
            <w:r>
              <w:rPr/>
              <w:t> </w:t>
            </w:r>
          </w:p>
        </w:tc>
        <w:tc>
          <w:tcPr>
            <w:tcW w:w="4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 den nominelle aktiekapital før udstedelsen af fondsaktier, og </w:t>
            </w:r>
          </w:p>
        </w:tc>
        <w:tc>
          <w:tcPr>
            <w:tcW w:w="60" w:type="dxa"/>
            <w:tcBorders/>
            <w:vAlign w:val="center"/>
          </w:tcPr>
          <w:p>
            <w:pPr>
              <w:pStyle w:val="TableContents"/>
              <w:bidi w:val="0"/>
              <w:spacing w:before="0" w:after="283"/>
              <w:jc w:val="both"/>
              <w:rPr/>
            </w:pPr>
            <w:r>
              <w:rPr/>
              <w:t> </w:t>
            </w:r>
          </w:p>
        </w:tc>
        <w:tc>
          <w:tcPr>
            <w:tcW w:w="4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 the nominal share capital before issue of bonus shares, and </w:t>
            </w:r>
          </w:p>
        </w:tc>
      </w:tr>
      <w:tr>
        <w:trPr/>
        <w:tc>
          <w:tcPr>
            <w:tcW w:w="296" w:type="dxa"/>
            <w:tcBorders/>
            <w:vAlign w:val="center"/>
          </w:tcPr>
          <w:p>
            <w:pPr>
              <w:pStyle w:val="TableContents"/>
              <w:bidi w:val="0"/>
              <w:spacing w:before="0" w:after="283"/>
              <w:jc w:val="both"/>
              <w:rPr/>
            </w:pPr>
            <w:r>
              <w:rPr/>
              <w:t> </w:t>
            </w:r>
          </w:p>
        </w:tc>
        <w:tc>
          <w:tcPr>
            <w:tcW w:w="4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 = den samlede nominelle værdi på fondsaktierne. </w:t>
            </w:r>
          </w:p>
        </w:tc>
        <w:tc>
          <w:tcPr>
            <w:tcW w:w="60" w:type="dxa"/>
            <w:tcBorders/>
            <w:vAlign w:val="center"/>
          </w:tcPr>
          <w:p>
            <w:pPr>
              <w:pStyle w:val="TableContents"/>
              <w:bidi w:val="0"/>
              <w:spacing w:before="0" w:after="283"/>
              <w:jc w:val="both"/>
              <w:rPr/>
            </w:pPr>
            <w:r>
              <w:rPr/>
              <w:t> </w:t>
            </w:r>
          </w:p>
        </w:tc>
        <w:tc>
          <w:tcPr>
            <w:tcW w:w="4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 = the total nominal value of bonus shares. </w:t>
            </w:r>
          </w:p>
        </w:tc>
      </w:tr>
      <w:tr>
        <w:trPr/>
        <w:tc>
          <w:tcPr>
            <w:tcW w:w="296" w:type="dxa"/>
            <w:tcBorders/>
            <w:vAlign w:val="center"/>
          </w:tcPr>
          <w:p>
            <w:pPr>
              <w:pStyle w:val="TableContents"/>
              <w:bidi w:val="0"/>
              <w:spacing w:before="0" w:after="283"/>
              <w:jc w:val="both"/>
              <w:rPr/>
            </w:pPr>
            <w:r>
              <w:rPr/>
              <w:t> </w:t>
            </w:r>
          </w:p>
        </w:tc>
        <w:tc>
          <w:tcPr>
            <w:tcW w:w="4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Hvis det justerede antal aktier ikke er et helt tal, skal der afrundes nedad til det nærmeste hele tal. </w:t>
            </w:r>
          </w:p>
        </w:tc>
        <w:tc>
          <w:tcPr>
            <w:tcW w:w="60" w:type="dxa"/>
            <w:tcBorders/>
            <w:vAlign w:val="center"/>
          </w:tcPr>
          <w:p>
            <w:pPr>
              <w:pStyle w:val="TableContents"/>
              <w:bidi w:val="0"/>
              <w:spacing w:before="0" w:after="283"/>
              <w:jc w:val="both"/>
              <w:rPr/>
            </w:pPr>
            <w:r>
              <w:rPr/>
              <w:t> </w:t>
            </w:r>
          </w:p>
        </w:tc>
        <w:tc>
          <w:tcPr>
            <w:tcW w:w="4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the adjusted number of shares does not amount to a whole number, the number shall be rounded down to the nearest whole number.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99"/>
        <w:gridCol w:w="4531"/>
        <w:gridCol w:w="60"/>
        <w:gridCol w:w="5315"/>
      </w:tblGrid>
      <w:tr>
        <w:trPr/>
        <w:tc>
          <w:tcPr>
            <w:tcW w:w="2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6.5.</w:t>
            </w:r>
          </w:p>
        </w:tc>
        <w:tc>
          <w:tcPr>
            <w:tcW w:w="4531"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Kapitalændringer til en anden kurs end markedskursen:</w:t>
            </w:r>
          </w:p>
        </w:tc>
        <w:tc>
          <w:tcPr>
            <w:tcW w:w="60" w:type="dxa"/>
            <w:tcBorders/>
            <w:vAlign w:val="center"/>
          </w:tcPr>
          <w:p>
            <w:pPr>
              <w:pStyle w:val="TableContents"/>
              <w:bidi w:val="0"/>
              <w:spacing w:before="0" w:after="283"/>
              <w:jc w:val="both"/>
              <w:rPr/>
            </w:pPr>
            <w:r>
              <w:rPr/>
              <w:t> </w:t>
            </w:r>
          </w:p>
        </w:tc>
        <w:tc>
          <w:tcPr>
            <w:tcW w:w="5315" w:type="dxa"/>
            <w:tcBorders/>
            <w:vAlign w:val="center"/>
          </w:tcPr>
          <w:p>
            <w:pPr>
              <w:pStyle w:val="TableContents"/>
              <w:bidi w:val="0"/>
              <w:spacing w:before="0" w:after="283"/>
              <w:jc w:val="both"/>
              <w:rPr>
                <w:u w:val="single"/>
              </w:rPr>
            </w:pPr>
            <w:r>
              <w:rPr>
                <w:u w:val="single"/>
              </w:rPr>
              <w:t>Changes of capital at a price different from the market price:</w:t>
            </w:r>
          </w:p>
        </w:tc>
      </w:tr>
      <w:tr>
        <w:trPr/>
        <w:tc>
          <w:tcPr>
            <w:tcW w:w="299" w:type="dxa"/>
            <w:tcBorders/>
            <w:vAlign w:val="center"/>
          </w:tcPr>
          <w:p>
            <w:pPr>
              <w:pStyle w:val="TableContents"/>
              <w:bidi w:val="0"/>
              <w:spacing w:before="0" w:after="283"/>
              <w:jc w:val="both"/>
              <w:rPr/>
            </w:pPr>
            <w:r>
              <w:rPr/>
              <w:t> </w:t>
            </w:r>
          </w:p>
        </w:tc>
        <w:tc>
          <w:tcPr>
            <w:tcW w:w="45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det besluttes at forhøje eller nedsætte aktiekapitalen i Selskabet til en kurs under markedskursen (vedrørende kapitalnedsættelser også til over markedskursen), skal warrants justeres således:</w:t>
            </w:r>
          </w:p>
        </w:tc>
        <w:tc>
          <w:tcPr>
            <w:tcW w:w="60" w:type="dxa"/>
            <w:tcBorders/>
            <w:vAlign w:val="center"/>
          </w:tcPr>
          <w:p>
            <w:pPr>
              <w:pStyle w:val="TableContents"/>
              <w:bidi w:val="0"/>
              <w:spacing w:before="0" w:after="283"/>
              <w:jc w:val="both"/>
              <w:rPr/>
            </w:pPr>
            <w:r>
              <w:rPr/>
              <w:t> </w:t>
            </w:r>
          </w:p>
        </w:tc>
        <w:tc>
          <w:tcPr>
            <w:tcW w:w="5315" w:type="dxa"/>
            <w:tcBorders/>
            <w:vAlign w:val="center"/>
          </w:tcPr>
          <w:p>
            <w:pPr>
              <w:pStyle w:val="TableContents"/>
              <w:bidi w:val="0"/>
              <w:spacing w:before="0" w:after="283"/>
              <w:jc w:val="both"/>
              <w:rPr/>
            </w:pPr>
            <w:r>
              <w:rPr/>
              <w:t>If it is decided to increase or decrease the share capital in the Company at a price below the market price (in relation to capital decreases also above the market price), warrants shall be adjusted as follows:      </w:t>
            </w:r>
          </w:p>
        </w:tc>
      </w:tr>
      <w:tr>
        <w:trPr/>
        <w:tc>
          <w:tcPr>
            <w:tcW w:w="299" w:type="dxa"/>
            <w:tcBorders/>
            <w:vAlign w:val="center"/>
          </w:tcPr>
          <w:p>
            <w:pPr>
              <w:pStyle w:val="TableContents"/>
              <w:bidi w:val="0"/>
              <w:spacing w:before="0" w:after="283"/>
              <w:jc w:val="both"/>
              <w:rPr/>
            </w:pPr>
            <w:r>
              <w:rPr/>
              <w:t> </w:t>
            </w:r>
          </w:p>
        </w:tc>
        <w:tc>
          <w:tcPr>
            <w:tcW w:w="45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Udnyttelsesprisen på enhver endnu ikke udnyttet warrant ganges med faktoren:</w:t>
            </w:r>
          </w:p>
        </w:tc>
        <w:tc>
          <w:tcPr>
            <w:tcW w:w="60" w:type="dxa"/>
            <w:tcBorders/>
            <w:vAlign w:val="center"/>
          </w:tcPr>
          <w:p>
            <w:pPr>
              <w:pStyle w:val="TableContents"/>
              <w:bidi w:val="0"/>
              <w:spacing w:before="0" w:after="283"/>
              <w:jc w:val="both"/>
              <w:rPr/>
            </w:pPr>
            <w:r>
              <w:rPr/>
              <w:t> </w:t>
            </w:r>
          </w:p>
        </w:tc>
        <w:tc>
          <w:tcPr>
            <w:tcW w:w="5315" w:type="dxa"/>
            <w:tcBorders/>
            <w:vAlign w:val="center"/>
          </w:tcPr>
          <w:p>
            <w:pPr>
              <w:pStyle w:val="TableContents"/>
              <w:bidi w:val="0"/>
              <w:spacing w:before="0" w:after="283"/>
              <w:jc w:val="both"/>
              <w:rPr/>
            </w:pPr>
            <w:r>
              <w:rPr/>
              <w:t>The exercise price for each non-exercised warrants shall be multiplied by the factor:      </w:t>
            </w:r>
          </w:p>
        </w:tc>
      </w:tr>
      <w:tr>
        <w:trPr/>
        <w:tc>
          <w:tcPr>
            <w:tcW w:w="299" w:type="dxa"/>
            <w:tcBorders/>
            <w:vAlign w:val="center"/>
          </w:tcPr>
          <w:p>
            <w:pPr>
              <w:pStyle w:val="TableContents"/>
              <w:bidi w:val="0"/>
              <w:spacing w:before="0" w:after="283"/>
              <w:jc w:val="both"/>
              <w:rPr/>
            </w:pPr>
            <w:r>
              <w:rPr/>
              <w:t> </w:t>
            </w:r>
          </w:p>
        </w:tc>
        <w:tc>
          <w:tcPr>
            <w:tcW w:w="4531" w:type="dxa"/>
            <w:tcBorders/>
            <w:vAlign w:val="center"/>
          </w:tcPr>
          <w:p>
            <w:pPr>
              <w:pStyle w:val="TableContents"/>
              <w:bidi w:val="0"/>
              <w:spacing w:before="0" w:after="283"/>
              <w:jc w:val="both"/>
              <w:rPr/>
            </w:pPr>
            <w:r>
              <w:rPr/>
              <w:drawing>
                <wp:inline distT="0" distB="0" distL="0" distR="0">
                  <wp:extent cx="1054100" cy="273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54100" cy="273050"/>
                          </a:xfrm>
                          <a:prstGeom prst="rect">
                            <a:avLst/>
                          </a:prstGeom>
                        </pic:spPr>
                      </pic:pic>
                    </a:graphicData>
                  </a:graphic>
                </wp:inline>
              </w:drawing>
            </w:r>
          </w:p>
        </w:tc>
        <w:tc>
          <w:tcPr>
            <w:tcW w:w="60" w:type="dxa"/>
            <w:tcBorders/>
            <w:vAlign w:val="center"/>
          </w:tcPr>
          <w:p>
            <w:pPr>
              <w:pStyle w:val="TableContents"/>
              <w:bidi w:val="0"/>
              <w:spacing w:before="0" w:after="283"/>
              <w:jc w:val="both"/>
              <w:rPr/>
            </w:pPr>
            <w:r>
              <w:rPr/>
              <w:t> </w:t>
            </w:r>
          </w:p>
        </w:tc>
        <w:tc>
          <w:tcPr>
            <w:tcW w:w="5315" w:type="dxa"/>
            <w:tcBorders/>
            <w:vAlign w:val="center"/>
          </w:tcPr>
          <w:p>
            <w:pPr>
              <w:pStyle w:val="TableContents"/>
              <w:bidi w:val="0"/>
              <w:spacing w:before="0" w:after="283"/>
              <w:jc w:val="both"/>
              <w:rPr/>
            </w:pPr>
            <w:r>
              <w:rPr/>
              <w:drawing>
                <wp:inline distT="0" distB="0" distL="0" distR="0">
                  <wp:extent cx="1054100" cy="273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54100" cy="273050"/>
                          </a:xfrm>
                          <a:prstGeom prst="rect">
                            <a:avLst/>
                          </a:prstGeom>
                        </pic:spPr>
                      </pic:pic>
                    </a:graphicData>
                  </a:graphic>
                </wp:inline>
              </w:drawing>
            </w:r>
          </w:p>
        </w:tc>
      </w:tr>
      <w:tr>
        <w:trPr/>
        <w:tc>
          <w:tcPr>
            <w:tcW w:w="299" w:type="dxa"/>
            <w:tcBorders/>
            <w:vAlign w:val="center"/>
          </w:tcPr>
          <w:p>
            <w:pPr>
              <w:pStyle w:val="TableContents"/>
              <w:bidi w:val="0"/>
              <w:spacing w:before="0" w:after="283"/>
              <w:jc w:val="both"/>
              <w:rPr/>
            </w:pPr>
            <w:r>
              <w:rPr/>
              <w:t> </w:t>
            </w:r>
          </w:p>
        </w:tc>
        <w:tc>
          <w:tcPr>
            <w:tcW w:w="45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og antallet af endnu ikke udnyttede warrants ganges med faktoren</w:t>
            </w:r>
          </w:p>
        </w:tc>
        <w:tc>
          <w:tcPr>
            <w:tcW w:w="60" w:type="dxa"/>
            <w:tcBorders/>
            <w:vAlign w:val="center"/>
          </w:tcPr>
          <w:p>
            <w:pPr>
              <w:pStyle w:val="TableContents"/>
              <w:bidi w:val="0"/>
              <w:spacing w:before="0" w:after="283"/>
              <w:jc w:val="both"/>
              <w:rPr/>
            </w:pPr>
            <w:r>
              <w:rPr/>
              <w:t> </w:t>
            </w:r>
          </w:p>
        </w:tc>
        <w:tc>
          <w:tcPr>
            <w:tcW w:w="5315" w:type="dxa"/>
            <w:tcBorders/>
            <w:vAlign w:val="center"/>
          </w:tcPr>
          <w:p>
            <w:pPr>
              <w:pStyle w:val="TableContents"/>
              <w:bidi w:val="0"/>
              <w:spacing w:before="0" w:after="283"/>
              <w:jc w:val="both"/>
              <w:rPr/>
            </w:pPr>
            <w:r>
              <w:rPr/>
              <w:t>and the number of non-exercised warrants shall be multiplied by the factor:</w:t>
            </w:r>
          </w:p>
        </w:tc>
      </w:tr>
      <w:tr>
        <w:trPr/>
        <w:tc>
          <w:tcPr>
            <w:tcW w:w="299" w:type="dxa"/>
            <w:tcBorders/>
            <w:vAlign w:val="center"/>
          </w:tcPr>
          <w:p>
            <w:pPr>
              <w:pStyle w:val="TableContents"/>
              <w:bidi w:val="0"/>
              <w:spacing w:before="0" w:after="283"/>
              <w:jc w:val="both"/>
              <w:rPr/>
            </w:pPr>
            <w:r>
              <w:rPr/>
              <w:t> </w:t>
            </w:r>
          </w:p>
        </w:tc>
        <w:tc>
          <w:tcPr>
            <w:tcW w:w="4531" w:type="dxa"/>
            <w:tcBorders/>
            <w:vAlign w:val="center"/>
          </w:tcPr>
          <w:p>
            <w:pPr>
              <w:pStyle w:val="TableContents"/>
              <w:bidi w:val="0"/>
              <w:spacing w:before="0" w:after="283"/>
              <w:jc w:val="both"/>
              <w:rPr/>
            </w:pPr>
            <w:r>
              <w:rPr/>
              <w:drawing>
                <wp:inline distT="0" distB="0" distL="0" distR="0">
                  <wp:extent cx="177800" cy="273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7800" cy="273050"/>
                          </a:xfrm>
                          <a:prstGeom prst="rect">
                            <a:avLst/>
                          </a:prstGeom>
                        </pic:spPr>
                      </pic:pic>
                    </a:graphicData>
                  </a:graphic>
                </wp:inline>
              </w:drawing>
            </w:r>
          </w:p>
        </w:tc>
        <w:tc>
          <w:tcPr>
            <w:tcW w:w="60" w:type="dxa"/>
            <w:tcBorders/>
            <w:vAlign w:val="center"/>
          </w:tcPr>
          <w:p>
            <w:pPr>
              <w:pStyle w:val="TableContents"/>
              <w:bidi w:val="0"/>
              <w:spacing w:before="0" w:after="283"/>
              <w:jc w:val="both"/>
              <w:rPr/>
            </w:pPr>
            <w:r>
              <w:rPr/>
              <w:t> </w:t>
            </w:r>
          </w:p>
        </w:tc>
        <w:tc>
          <w:tcPr>
            <w:tcW w:w="5315" w:type="dxa"/>
            <w:tcBorders/>
            <w:vAlign w:val="center"/>
          </w:tcPr>
          <w:p>
            <w:pPr>
              <w:pStyle w:val="TableContents"/>
              <w:bidi w:val="0"/>
              <w:spacing w:before="0" w:after="283"/>
              <w:jc w:val="both"/>
              <w:rPr/>
            </w:pPr>
            <w:r>
              <w:rPr/>
              <w:drawing>
                <wp:inline distT="0" distB="0" distL="0" distR="0">
                  <wp:extent cx="177800" cy="273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7800" cy="273050"/>
                          </a:xfrm>
                          <a:prstGeom prst="rect">
                            <a:avLst/>
                          </a:prstGeom>
                        </pic:spPr>
                      </pic:pic>
                    </a:graphicData>
                  </a:graphic>
                </wp:inline>
              </w:drawing>
            </w:r>
          </w:p>
        </w:tc>
      </w:tr>
      <w:tr>
        <w:trPr/>
        <w:tc>
          <w:tcPr>
            <w:tcW w:w="299" w:type="dxa"/>
            <w:tcBorders/>
            <w:vAlign w:val="center"/>
          </w:tcPr>
          <w:p>
            <w:pPr>
              <w:pStyle w:val="TableContents"/>
              <w:bidi w:val="0"/>
              <w:spacing w:before="0" w:after="283"/>
              <w:jc w:val="both"/>
              <w:rPr/>
            </w:pPr>
            <w:r>
              <w:rPr/>
              <w:t> </w:t>
            </w:r>
          </w:p>
        </w:tc>
        <w:tc>
          <w:tcPr>
            <w:tcW w:w="45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hvor:</w:t>
            </w:r>
          </w:p>
        </w:tc>
        <w:tc>
          <w:tcPr>
            <w:tcW w:w="60" w:type="dxa"/>
            <w:tcBorders/>
            <w:vAlign w:val="center"/>
          </w:tcPr>
          <w:p>
            <w:pPr>
              <w:pStyle w:val="TableContents"/>
              <w:bidi w:val="0"/>
              <w:spacing w:before="0" w:after="283"/>
              <w:jc w:val="both"/>
              <w:rPr/>
            </w:pPr>
            <w:r>
              <w:rPr/>
              <w:t> </w:t>
            </w:r>
          </w:p>
        </w:tc>
        <w:tc>
          <w:tcPr>
            <w:tcW w:w="5315" w:type="dxa"/>
            <w:tcBorders/>
            <w:vAlign w:val="center"/>
          </w:tcPr>
          <w:p>
            <w:pPr>
              <w:pStyle w:val="TableContents"/>
              <w:bidi w:val="0"/>
              <w:spacing w:before="0" w:after="283"/>
              <w:jc w:val="both"/>
              <w:rPr/>
            </w:pPr>
            <w:r>
              <w:rPr/>
              <w:t>where:  </w:t>
            </w:r>
          </w:p>
        </w:tc>
      </w:tr>
      <w:tr>
        <w:trPr/>
        <w:tc>
          <w:tcPr>
            <w:tcW w:w="299" w:type="dxa"/>
            <w:tcBorders/>
            <w:vAlign w:val="center"/>
          </w:tcPr>
          <w:p>
            <w:pPr>
              <w:pStyle w:val="TableContents"/>
              <w:bidi w:val="0"/>
              <w:spacing w:before="0" w:after="283"/>
              <w:jc w:val="left"/>
              <w:rPr>
                <w:sz w:val="4"/>
                <w:szCs w:val="4"/>
              </w:rPr>
            </w:pPr>
            <w:r>
              <w:rPr>
                <w:sz w:val="4"/>
                <w:szCs w:val="4"/>
              </w:rPr>
            </w:r>
          </w:p>
        </w:tc>
        <w:tc>
          <w:tcPr>
            <w:tcW w:w="45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 den nominelle aktiekapital før ændringen i kapitalen</w:t>
            </w:r>
          </w:p>
        </w:tc>
        <w:tc>
          <w:tcPr>
            <w:tcW w:w="60" w:type="dxa"/>
            <w:tcBorders/>
            <w:vAlign w:val="center"/>
          </w:tcPr>
          <w:p>
            <w:pPr>
              <w:pStyle w:val="TableContents"/>
              <w:bidi w:val="0"/>
              <w:spacing w:before="0" w:after="283"/>
              <w:jc w:val="both"/>
              <w:rPr/>
            </w:pPr>
            <w:r>
              <w:rPr/>
              <w:t> </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 nominal share capital before the change in capital</w:t>
            </w:r>
          </w:p>
        </w:tc>
      </w:tr>
      <w:tr>
        <w:trPr/>
        <w:tc>
          <w:tcPr>
            <w:tcW w:w="299" w:type="dxa"/>
            <w:tcBorders/>
            <w:vAlign w:val="center"/>
          </w:tcPr>
          <w:p>
            <w:pPr>
              <w:pStyle w:val="TableContents"/>
              <w:bidi w:val="0"/>
              <w:spacing w:before="0" w:after="283"/>
              <w:jc w:val="left"/>
              <w:rPr>
                <w:sz w:val="4"/>
                <w:szCs w:val="4"/>
              </w:rPr>
            </w:pPr>
            <w:r>
              <w:rPr>
                <w:sz w:val="4"/>
                <w:szCs w:val="4"/>
              </w:rPr>
            </w:r>
          </w:p>
        </w:tc>
        <w:tc>
          <w:tcPr>
            <w:tcW w:w="45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 den nominelle ændring i aktiekapitalen</w:t>
            </w:r>
          </w:p>
        </w:tc>
        <w:tc>
          <w:tcPr>
            <w:tcW w:w="60" w:type="dxa"/>
            <w:tcBorders/>
            <w:vAlign w:val="center"/>
          </w:tcPr>
          <w:p>
            <w:pPr>
              <w:pStyle w:val="TableContents"/>
              <w:bidi w:val="0"/>
              <w:spacing w:before="0" w:after="283"/>
              <w:jc w:val="both"/>
              <w:rPr/>
            </w:pPr>
            <w:r>
              <w:rPr/>
              <w:t> </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 nominal change in the share capital</w:t>
            </w:r>
          </w:p>
        </w:tc>
      </w:tr>
      <w:tr>
        <w:trPr/>
        <w:tc>
          <w:tcPr>
            <w:tcW w:w="299" w:type="dxa"/>
            <w:tcBorders/>
            <w:vAlign w:val="center"/>
          </w:tcPr>
          <w:p>
            <w:pPr>
              <w:pStyle w:val="TableContents"/>
              <w:bidi w:val="0"/>
              <w:spacing w:before="0" w:after="283"/>
              <w:jc w:val="left"/>
              <w:rPr>
                <w:sz w:val="4"/>
                <w:szCs w:val="4"/>
              </w:rPr>
            </w:pPr>
            <w:r>
              <w:rPr>
                <w:sz w:val="4"/>
                <w:szCs w:val="4"/>
              </w:rPr>
            </w:r>
          </w:p>
        </w:tc>
        <w:tc>
          <w:tcPr>
            <w:tcW w:w="45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 = aktiens markedskurs / lukkekurs dagen forinden annoncering af ændringen i aktiekapitalen, og</w:t>
            </w:r>
          </w:p>
        </w:tc>
        <w:tc>
          <w:tcPr>
            <w:tcW w:w="60" w:type="dxa"/>
            <w:tcBorders/>
            <w:vAlign w:val="center"/>
          </w:tcPr>
          <w:p>
            <w:pPr>
              <w:pStyle w:val="TableContents"/>
              <w:bidi w:val="0"/>
              <w:spacing w:before="0" w:after="283"/>
              <w:jc w:val="both"/>
              <w:rPr/>
            </w:pPr>
            <w:r>
              <w:rPr/>
              <w:t> </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 = market price / closing price of the share on the day prior to the announcement of the change in the share capital, and</w:t>
            </w:r>
          </w:p>
        </w:tc>
      </w:tr>
      <w:tr>
        <w:trPr/>
        <w:tc>
          <w:tcPr>
            <w:tcW w:w="299" w:type="dxa"/>
            <w:tcBorders/>
            <w:vAlign w:val="center"/>
          </w:tcPr>
          <w:p>
            <w:pPr>
              <w:pStyle w:val="TableContents"/>
              <w:bidi w:val="0"/>
              <w:spacing w:before="0" w:after="283"/>
              <w:jc w:val="left"/>
              <w:rPr>
                <w:sz w:val="4"/>
                <w:szCs w:val="4"/>
              </w:rPr>
            </w:pPr>
            <w:r>
              <w:rPr>
                <w:sz w:val="4"/>
                <w:szCs w:val="4"/>
              </w:rPr>
            </w:r>
          </w:p>
        </w:tc>
        <w:tc>
          <w:tcPr>
            <w:tcW w:w="45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 = tegningskurs/nedsættelseskurs ved ændringen i aktiekapitalen</w:t>
            </w:r>
          </w:p>
        </w:tc>
        <w:tc>
          <w:tcPr>
            <w:tcW w:w="60" w:type="dxa"/>
            <w:tcBorders/>
            <w:vAlign w:val="center"/>
          </w:tcPr>
          <w:p>
            <w:pPr>
              <w:pStyle w:val="TableContents"/>
              <w:bidi w:val="0"/>
              <w:spacing w:before="0" w:after="283"/>
              <w:jc w:val="both"/>
              <w:rPr/>
            </w:pPr>
            <w:r>
              <w:rPr/>
              <w:t> </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 = subscription price/reduction price in relation to the change in the share capital</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07"/>
        <w:gridCol w:w="4887"/>
        <w:gridCol w:w="60"/>
        <w:gridCol w:w="4951"/>
      </w:tblGrid>
      <w:tr>
        <w:trPr/>
        <w:tc>
          <w:tcPr>
            <w:tcW w:w="307" w:type="dxa"/>
            <w:tcBorders/>
            <w:vAlign w:val="center"/>
          </w:tcPr>
          <w:p>
            <w:pPr>
              <w:pStyle w:val="TableContents"/>
              <w:bidi w:val="0"/>
              <w:spacing w:before="0" w:after="283"/>
              <w:jc w:val="both"/>
              <w:rPr/>
            </w:pPr>
            <w:r>
              <w:rPr/>
              <w:t> </w:t>
            </w:r>
          </w:p>
        </w:tc>
        <w:tc>
          <w:tcPr>
            <w:tcW w:w="4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det det justerede antal aktier ikke er et helt tal, skal der afrundes nedad til det nærmeste hele tal.</w:t>
            </w:r>
          </w:p>
        </w:tc>
        <w:tc>
          <w:tcPr>
            <w:tcW w:w="60"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sz w:val="20"/>
              </w:rPr>
            </w:pPr>
            <w:r>
              <w:rPr>
                <w:sz w:val="20"/>
              </w:rPr>
              <w:t>I</w:t>
            </w:r>
            <w:r>
              <w:rPr>
                <w:rFonts w:ascii="Times New Roman;Times;Serif" w:hAnsi="Times New Roman;Times;Serif"/>
                <w:sz w:val="20"/>
              </w:rPr>
              <w:t>f the adjusted number of shares does not amount to whole numbers, each number shall be rounded down to the nearest whole number.</w:t>
            </w:r>
          </w:p>
        </w:tc>
      </w:tr>
      <w:tr>
        <w:trPr/>
        <w:tc>
          <w:tcPr>
            <w:tcW w:w="307" w:type="dxa"/>
            <w:tcBorders/>
            <w:vAlign w:val="center"/>
          </w:tcPr>
          <w:p>
            <w:pPr>
              <w:pStyle w:val="TableContents"/>
              <w:bidi w:val="0"/>
              <w:spacing w:before="0" w:after="283"/>
              <w:jc w:val="both"/>
              <w:rPr/>
            </w:pPr>
            <w:r>
              <w:rPr/>
              <w:t> </w:t>
            </w:r>
          </w:p>
        </w:tc>
        <w:tc>
          <w:tcPr>
            <w:tcW w:w="4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Såfremt Selskabet er børsnoteret skal der ikke ske regulering i tilfælde af fravigelser fra den noterede kurs på 10% eller mindre.</w:t>
            </w:r>
          </w:p>
        </w:tc>
        <w:tc>
          <w:tcPr>
            <w:tcW w:w="60"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the Company is listed no adjustments shall take place in the event that the deviation from the listed price is 10% or less.</w:t>
            </w:r>
          </w:p>
        </w:tc>
      </w:tr>
      <w:tr>
        <w:trPr/>
        <w:tc>
          <w:tcPr>
            <w:tcW w:w="3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6.6.</w:t>
            </w:r>
          </w:p>
        </w:tc>
        <w:tc>
          <w:tcPr>
            <w:tcW w:w="4887"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Ændringer i den enkelte aktie pålydende værdi:</w:t>
            </w:r>
          </w:p>
        </w:tc>
        <w:tc>
          <w:tcPr>
            <w:tcW w:w="60"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Changes in the nominal value of each individual share:</w:t>
            </w:r>
          </w:p>
        </w:tc>
      </w:tr>
      <w:tr>
        <w:trPr/>
        <w:tc>
          <w:tcPr>
            <w:tcW w:w="307" w:type="dxa"/>
            <w:tcBorders/>
            <w:vAlign w:val="center"/>
          </w:tcPr>
          <w:p>
            <w:pPr>
              <w:pStyle w:val="TableContents"/>
              <w:bidi w:val="0"/>
              <w:spacing w:before="0" w:after="283"/>
              <w:jc w:val="both"/>
              <w:rPr/>
            </w:pPr>
            <w:r>
              <w:rPr/>
              <w:t> </w:t>
            </w:r>
          </w:p>
        </w:tc>
        <w:tc>
          <w:tcPr>
            <w:tcW w:w="4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det besluttes at ændre aktiernes pålydende værdi, skal warrants justeres således:</w:t>
            </w:r>
          </w:p>
        </w:tc>
        <w:tc>
          <w:tcPr>
            <w:tcW w:w="60"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it is decided to change the nominal value of the shares, warrants shall be adjusted as follows:</w:t>
            </w:r>
          </w:p>
        </w:tc>
      </w:tr>
      <w:tr>
        <w:trPr/>
        <w:tc>
          <w:tcPr>
            <w:tcW w:w="307" w:type="dxa"/>
            <w:tcBorders/>
            <w:vAlign w:val="center"/>
          </w:tcPr>
          <w:p>
            <w:pPr>
              <w:pStyle w:val="TableContents"/>
              <w:bidi w:val="0"/>
              <w:spacing w:before="0" w:after="283"/>
              <w:jc w:val="both"/>
              <w:rPr/>
            </w:pPr>
            <w:r>
              <w:rPr/>
              <w:t> </w:t>
            </w:r>
          </w:p>
        </w:tc>
        <w:tc>
          <w:tcPr>
            <w:tcW w:w="4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Udnyttelsesprisen på enhver endnu ikke udnyttet warrant ganges med faktoren:</w:t>
            </w:r>
          </w:p>
        </w:tc>
        <w:tc>
          <w:tcPr>
            <w:tcW w:w="60"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for each non-exercised warrant shall be multiplied by the factor:</w:t>
            </w:r>
          </w:p>
        </w:tc>
      </w:tr>
      <w:tr>
        <w:trPr/>
        <w:tc>
          <w:tcPr>
            <w:tcW w:w="307" w:type="dxa"/>
            <w:tcBorders/>
            <w:vAlign w:val="center"/>
          </w:tcPr>
          <w:p>
            <w:pPr>
              <w:pStyle w:val="TableContents"/>
              <w:bidi w:val="0"/>
              <w:spacing w:before="0" w:after="283"/>
              <w:jc w:val="both"/>
              <w:rPr/>
            </w:pPr>
            <w:r>
              <w:rPr/>
              <w:t> </w:t>
            </w:r>
          </w:p>
        </w:tc>
        <w:tc>
          <w:tcPr>
            <w:tcW w:w="4887" w:type="dxa"/>
            <w:tcBorders/>
            <w:vAlign w:val="center"/>
          </w:tcPr>
          <w:p>
            <w:pPr>
              <w:pStyle w:val="TableContents"/>
              <w:bidi w:val="0"/>
              <w:spacing w:before="0" w:after="283"/>
              <w:jc w:val="both"/>
              <w:rPr/>
            </w:pPr>
            <w:r>
              <w:rPr/>
              <w:drawing>
                <wp:inline distT="0" distB="0" distL="0" distR="0">
                  <wp:extent cx="711200" cy="2921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11200" cy="292100"/>
                          </a:xfrm>
                          <a:prstGeom prst="rect">
                            <a:avLst/>
                          </a:prstGeom>
                        </pic:spPr>
                      </pic:pic>
                    </a:graphicData>
                  </a:graphic>
                </wp:inline>
              </w:drawing>
            </w:r>
          </w:p>
        </w:tc>
        <w:tc>
          <w:tcPr>
            <w:tcW w:w="60"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pPr>
            <w:r>
              <w:rPr/>
              <w:drawing>
                <wp:inline distT="0" distB="0" distL="0" distR="0">
                  <wp:extent cx="711200" cy="2921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11200" cy="292100"/>
                          </a:xfrm>
                          <a:prstGeom prst="rect">
                            <a:avLst/>
                          </a:prstGeom>
                        </pic:spPr>
                      </pic:pic>
                    </a:graphicData>
                  </a:graphic>
                </wp:inline>
              </w:drawing>
            </w:r>
          </w:p>
        </w:tc>
      </w:tr>
      <w:tr>
        <w:trPr/>
        <w:tc>
          <w:tcPr>
            <w:tcW w:w="307" w:type="dxa"/>
            <w:tcBorders/>
            <w:vAlign w:val="center"/>
          </w:tcPr>
          <w:p>
            <w:pPr>
              <w:pStyle w:val="TableContents"/>
              <w:bidi w:val="0"/>
              <w:spacing w:before="0" w:after="283"/>
              <w:jc w:val="both"/>
              <w:rPr/>
            </w:pPr>
            <w:r>
              <w:rPr/>
              <w:t> </w:t>
            </w:r>
          </w:p>
        </w:tc>
        <w:tc>
          <w:tcPr>
            <w:tcW w:w="4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og antallet af endnu ikke udnyttede warrants ganges med faktoren:</w:t>
            </w:r>
          </w:p>
        </w:tc>
        <w:tc>
          <w:tcPr>
            <w:tcW w:w="60"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sz w:val="20"/>
              </w:rPr>
            </w:pPr>
            <w:r>
              <w:rPr>
                <w:sz w:val="20"/>
              </w:rPr>
              <w:t>and the number of non-exercised warrants shall be multiplied by the factor:</w:t>
            </w:r>
          </w:p>
        </w:tc>
      </w:tr>
      <w:tr>
        <w:trPr/>
        <w:tc>
          <w:tcPr>
            <w:tcW w:w="307" w:type="dxa"/>
            <w:tcBorders/>
            <w:vAlign w:val="center"/>
          </w:tcPr>
          <w:p>
            <w:pPr>
              <w:pStyle w:val="TableContents"/>
              <w:bidi w:val="0"/>
              <w:spacing w:before="0" w:after="283"/>
              <w:jc w:val="both"/>
              <w:rPr/>
            </w:pPr>
            <w:r>
              <w:rPr/>
              <w:t> </w:t>
            </w:r>
          </w:p>
        </w:tc>
        <w:tc>
          <w:tcPr>
            <w:tcW w:w="4887" w:type="dxa"/>
            <w:tcBorders/>
            <w:vAlign w:val="center"/>
          </w:tcPr>
          <w:p>
            <w:pPr>
              <w:pStyle w:val="TableContents"/>
              <w:bidi w:val="0"/>
              <w:spacing w:before="0" w:after="283"/>
              <w:jc w:val="both"/>
              <w:rPr/>
            </w:pPr>
            <w:r>
              <w:rPr/>
              <w:drawing>
                <wp:inline distT="0" distB="0" distL="0" distR="0">
                  <wp:extent cx="177800" cy="273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77800" cy="273050"/>
                          </a:xfrm>
                          <a:prstGeom prst="rect">
                            <a:avLst/>
                          </a:prstGeom>
                        </pic:spPr>
                      </pic:pic>
                    </a:graphicData>
                  </a:graphic>
                </wp:inline>
              </w:drawing>
            </w:r>
          </w:p>
        </w:tc>
        <w:tc>
          <w:tcPr>
            <w:tcW w:w="60"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pPr>
            <w:r>
              <w:rPr/>
              <w:drawing>
                <wp:inline distT="0" distB="0" distL="0" distR="0">
                  <wp:extent cx="177800" cy="2730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77800" cy="273050"/>
                          </a:xfrm>
                          <a:prstGeom prst="rect">
                            <a:avLst/>
                          </a:prstGeom>
                        </pic:spPr>
                      </pic:pic>
                    </a:graphicData>
                  </a:graphic>
                </wp:inline>
              </w:drawing>
            </w:r>
          </w:p>
        </w:tc>
      </w:tr>
      <w:tr>
        <w:trPr/>
        <w:tc>
          <w:tcPr>
            <w:tcW w:w="307" w:type="dxa"/>
            <w:tcBorders/>
            <w:vAlign w:val="center"/>
          </w:tcPr>
          <w:p>
            <w:pPr>
              <w:pStyle w:val="TableContents"/>
              <w:bidi w:val="0"/>
              <w:spacing w:before="0" w:after="283"/>
              <w:jc w:val="both"/>
              <w:rPr/>
            </w:pPr>
            <w:r>
              <w:rPr/>
              <w:t> </w:t>
            </w:r>
          </w:p>
        </w:tc>
        <w:tc>
          <w:tcPr>
            <w:tcW w:w="4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hvor:</w:t>
            </w:r>
          </w:p>
        </w:tc>
        <w:tc>
          <w:tcPr>
            <w:tcW w:w="60"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w:t>
            </w:r>
          </w:p>
        </w:tc>
      </w:tr>
      <w:tr>
        <w:trPr/>
        <w:tc>
          <w:tcPr>
            <w:tcW w:w="307" w:type="dxa"/>
            <w:tcBorders/>
            <w:vAlign w:val="center"/>
          </w:tcPr>
          <w:p>
            <w:pPr>
              <w:pStyle w:val="TableContents"/>
              <w:bidi w:val="0"/>
              <w:spacing w:before="0" w:after="283"/>
              <w:jc w:val="both"/>
              <w:rPr/>
            </w:pPr>
            <w:r>
              <w:rPr/>
              <w:t> </w:t>
            </w:r>
          </w:p>
        </w:tc>
        <w:tc>
          <w:tcPr>
            <w:tcW w:w="4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 den enkelte aktie nominelle værdi efter ændringen, og</w:t>
            </w:r>
          </w:p>
        </w:tc>
        <w:tc>
          <w:tcPr>
            <w:tcW w:w="60"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 nominal value of each share after the change, and</w:t>
            </w:r>
          </w:p>
        </w:tc>
      </w:tr>
      <w:tr>
        <w:trPr/>
        <w:tc>
          <w:tcPr>
            <w:tcW w:w="307" w:type="dxa"/>
            <w:tcBorders/>
            <w:vAlign w:val="center"/>
          </w:tcPr>
          <w:p>
            <w:pPr>
              <w:pStyle w:val="TableContents"/>
              <w:bidi w:val="0"/>
              <w:spacing w:before="0" w:after="283"/>
              <w:jc w:val="both"/>
              <w:rPr/>
            </w:pPr>
            <w:r>
              <w:rPr/>
              <w:t> </w:t>
            </w:r>
          </w:p>
        </w:tc>
        <w:tc>
          <w:tcPr>
            <w:tcW w:w="4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 den enkelte aktie nominelle værdi før ændringen.</w:t>
            </w:r>
          </w:p>
        </w:tc>
        <w:tc>
          <w:tcPr>
            <w:tcW w:w="60"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 nominal value of each share before the change.</w:t>
            </w:r>
          </w:p>
        </w:tc>
      </w:tr>
      <w:tr>
        <w:trPr/>
        <w:tc>
          <w:tcPr>
            <w:tcW w:w="307" w:type="dxa"/>
            <w:tcBorders/>
            <w:vAlign w:val="center"/>
          </w:tcPr>
          <w:p>
            <w:pPr>
              <w:pStyle w:val="TableContents"/>
              <w:bidi w:val="0"/>
              <w:spacing w:before="0" w:after="283"/>
              <w:jc w:val="both"/>
              <w:rPr/>
            </w:pPr>
            <w:r>
              <w:rPr/>
              <w:t> </w:t>
            </w:r>
          </w:p>
        </w:tc>
        <w:tc>
          <w:tcPr>
            <w:tcW w:w="4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det justerede antal aktier ikke er et helt tal, skal der afrundes nedad til det nærmeste hele tal.</w:t>
            </w:r>
          </w:p>
        </w:tc>
        <w:tc>
          <w:tcPr>
            <w:tcW w:w="60"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adjusted number of shares does not amount to a whole number, the number shall be rounded down to the nearest whole number.</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293"/>
        <w:gridCol w:w="4778"/>
        <w:gridCol w:w="60"/>
        <w:gridCol w:w="5074"/>
      </w:tblGrid>
      <w:tr>
        <w:trPr/>
        <w:tc>
          <w:tcPr>
            <w:tcW w:w="2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6.7.</w:t>
            </w:r>
          </w:p>
        </w:tc>
        <w:tc>
          <w:tcPr>
            <w:tcW w:w="4778"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Udbetaling af udbytte:</w:t>
            </w:r>
          </w:p>
        </w:tc>
        <w:tc>
          <w:tcPr>
            <w:tcW w:w="60" w:type="dxa"/>
            <w:tcBorders/>
            <w:vAlign w:val="center"/>
          </w:tcPr>
          <w:p>
            <w:pPr>
              <w:pStyle w:val="TableContents"/>
              <w:bidi w:val="0"/>
              <w:spacing w:before="0" w:after="283"/>
              <w:jc w:val="both"/>
              <w:rPr/>
            </w:pPr>
            <w:r>
              <w:rPr/>
              <w:t> </w:t>
            </w:r>
          </w:p>
        </w:tc>
        <w:tc>
          <w:tcPr>
            <w:tcW w:w="5074"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Payment of dividend:</w:t>
            </w:r>
          </w:p>
        </w:tc>
      </w:tr>
      <w:tr>
        <w:trPr/>
        <w:tc>
          <w:tcPr>
            <w:tcW w:w="293" w:type="dxa"/>
            <w:tcBorders/>
            <w:vAlign w:val="center"/>
          </w:tcPr>
          <w:p>
            <w:pPr>
              <w:pStyle w:val="TableContents"/>
              <w:bidi w:val="0"/>
              <w:spacing w:before="0" w:after="283"/>
              <w:jc w:val="both"/>
              <w:rPr/>
            </w:pPr>
            <w:r>
              <w:rPr/>
              <w:t> </w:t>
            </w:r>
          </w:p>
        </w:tc>
        <w:tc>
          <w:tcPr>
            <w:tcW w:w="47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det besluttes at udbetale udbytte, skal den del af udbyttet, der overstiger 10 % af egenkapitalen, medføre en justering af udnyttelsesprisen efter denne formel:</w:t>
            </w:r>
          </w:p>
        </w:tc>
        <w:tc>
          <w:tcPr>
            <w:tcW w:w="60" w:type="dxa"/>
            <w:tcBorders/>
            <w:vAlign w:val="center"/>
          </w:tcPr>
          <w:p>
            <w:pPr>
              <w:pStyle w:val="TableContents"/>
              <w:bidi w:val="0"/>
              <w:spacing w:before="0" w:after="283"/>
              <w:jc w:val="both"/>
              <w:rPr/>
            </w:pPr>
            <w:r>
              <w:rPr/>
              <w:t> </w:t>
            </w:r>
          </w:p>
        </w:tc>
        <w:tc>
          <w:tcPr>
            <w:tcW w:w="50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it is decided to pay dividends, the part of the dividends exceeding 10 per cent of the equity capital shall lead to adjustment of the exercise price according to the following formula:</w:t>
            </w:r>
          </w:p>
        </w:tc>
      </w:tr>
      <w:tr>
        <w:trPr/>
        <w:tc>
          <w:tcPr>
            <w:tcW w:w="293" w:type="dxa"/>
            <w:tcBorders/>
            <w:vAlign w:val="center"/>
          </w:tcPr>
          <w:p>
            <w:pPr>
              <w:pStyle w:val="TableContents"/>
              <w:bidi w:val="0"/>
              <w:spacing w:before="0" w:after="283"/>
              <w:jc w:val="both"/>
              <w:rPr/>
            </w:pPr>
            <w:r>
              <w:rPr/>
              <w:t> </w:t>
            </w:r>
          </w:p>
        </w:tc>
        <w:tc>
          <w:tcPr>
            <w:tcW w:w="4778" w:type="dxa"/>
            <w:tcBorders/>
            <w:vAlign w:val="center"/>
          </w:tcPr>
          <w:p>
            <w:pPr>
              <w:pStyle w:val="TableContents"/>
              <w:bidi w:val="0"/>
              <w:spacing w:before="0" w:after="283"/>
              <w:jc w:val="both"/>
              <w:rPr/>
            </w:pPr>
            <w:r>
              <w:rPr/>
              <w:drawing>
                <wp:inline distT="0" distB="0" distL="0" distR="0">
                  <wp:extent cx="920750" cy="2857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20750" cy="285750"/>
                          </a:xfrm>
                          <a:prstGeom prst="rect">
                            <a:avLst/>
                          </a:prstGeom>
                        </pic:spPr>
                      </pic:pic>
                    </a:graphicData>
                  </a:graphic>
                </wp:inline>
              </w:drawing>
            </w:r>
          </w:p>
        </w:tc>
        <w:tc>
          <w:tcPr>
            <w:tcW w:w="60" w:type="dxa"/>
            <w:tcBorders/>
            <w:vAlign w:val="center"/>
          </w:tcPr>
          <w:p>
            <w:pPr>
              <w:pStyle w:val="TableContents"/>
              <w:bidi w:val="0"/>
              <w:spacing w:before="0" w:after="283"/>
              <w:jc w:val="both"/>
              <w:rPr/>
            </w:pPr>
            <w:r>
              <w:rPr/>
              <w:t> </w:t>
            </w:r>
          </w:p>
        </w:tc>
        <w:tc>
          <w:tcPr>
            <w:tcW w:w="5074" w:type="dxa"/>
            <w:tcBorders/>
            <w:vAlign w:val="center"/>
          </w:tcPr>
          <w:p>
            <w:pPr>
              <w:pStyle w:val="TableContents"/>
              <w:bidi w:val="0"/>
              <w:spacing w:before="0" w:after="283"/>
              <w:jc w:val="both"/>
              <w:rPr/>
            </w:pPr>
            <w:r>
              <w:rPr/>
              <w:drawing>
                <wp:inline distT="0" distB="0" distL="0" distR="0">
                  <wp:extent cx="920750" cy="2857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20750" cy="285750"/>
                          </a:xfrm>
                          <a:prstGeom prst="rect">
                            <a:avLst/>
                          </a:prstGeom>
                        </pic:spPr>
                      </pic:pic>
                    </a:graphicData>
                  </a:graphic>
                </wp:inline>
              </w:drawing>
            </w:r>
          </w:p>
        </w:tc>
      </w:tr>
      <w:tr>
        <w:trPr/>
        <w:tc>
          <w:tcPr>
            <w:tcW w:w="293" w:type="dxa"/>
            <w:tcBorders/>
            <w:vAlign w:val="center"/>
          </w:tcPr>
          <w:p>
            <w:pPr>
              <w:pStyle w:val="TableContents"/>
              <w:bidi w:val="0"/>
              <w:spacing w:before="0" w:after="283"/>
              <w:jc w:val="both"/>
              <w:rPr/>
            </w:pPr>
            <w:r>
              <w:rPr/>
              <w:t> </w:t>
            </w:r>
          </w:p>
        </w:tc>
        <w:tc>
          <w:tcPr>
            <w:tcW w:w="47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hvor:</w:t>
            </w:r>
          </w:p>
        </w:tc>
        <w:tc>
          <w:tcPr>
            <w:tcW w:w="60" w:type="dxa"/>
            <w:tcBorders/>
            <w:vAlign w:val="center"/>
          </w:tcPr>
          <w:p>
            <w:pPr>
              <w:pStyle w:val="TableContents"/>
              <w:bidi w:val="0"/>
              <w:spacing w:before="0" w:after="283"/>
              <w:jc w:val="both"/>
              <w:rPr/>
            </w:pPr>
            <w:r>
              <w:rPr/>
              <w:t> </w:t>
            </w:r>
          </w:p>
        </w:tc>
        <w:tc>
          <w:tcPr>
            <w:tcW w:w="5074" w:type="dxa"/>
            <w:tcBorders/>
            <w:vAlign w:val="center"/>
          </w:tcPr>
          <w:p>
            <w:pPr>
              <w:pStyle w:val="TableContents"/>
              <w:bidi w:val="0"/>
              <w:spacing w:before="0" w:after="283"/>
              <w:jc w:val="both"/>
              <w:rPr>
                <w:sz w:val="20"/>
              </w:rPr>
            </w:pPr>
            <w:r>
              <w:rPr>
                <w:sz w:val="20"/>
              </w:rPr>
              <w:t>w</w:t>
            </w:r>
            <w:r>
              <w:rPr>
                <w:rFonts w:ascii="Times New Roman;Times;Serif" w:hAnsi="Times New Roman;Times;Serif"/>
                <w:sz w:val="20"/>
              </w:rPr>
              <w:t>here:</w:t>
            </w:r>
          </w:p>
        </w:tc>
      </w:tr>
      <w:tr>
        <w:trPr/>
        <w:tc>
          <w:tcPr>
            <w:tcW w:w="293" w:type="dxa"/>
            <w:tcBorders/>
            <w:vAlign w:val="center"/>
          </w:tcPr>
          <w:p>
            <w:pPr>
              <w:pStyle w:val="TableContents"/>
              <w:bidi w:val="0"/>
              <w:spacing w:before="0" w:after="283"/>
              <w:jc w:val="both"/>
              <w:rPr/>
            </w:pPr>
            <w:r>
              <w:rPr/>
              <w:t> </w:t>
            </w:r>
          </w:p>
        </w:tc>
        <w:tc>
          <w:tcPr>
            <w:tcW w:w="47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E2 = den justerede udnyttelsespris</w:t>
            </w:r>
          </w:p>
        </w:tc>
        <w:tc>
          <w:tcPr>
            <w:tcW w:w="60" w:type="dxa"/>
            <w:tcBorders/>
            <w:vAlign w:val="center"/>
          </w:tcPr>
          <w:p>
            <w:pPr>
              <w:pStyle w:val="TableContents"/>
              <w:bidi w:val="0"/>
              <w:spacing w:before="0" w:after="283"/>
              <w:jc w:val="both"/>
              <w:rPr/>
            </w:pPr>
            <w:r>
              <w:rPr/>
              <w:t> </w:t>
            </w:r>
          </w:p>
        </w:tc>
        <w:tc>
          <w:tcPr>
            <w:tcW w:w="50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E2 = the adjusted exercise price</w:t>
            </w:r>
          </w:p>
        </w:tc>
      </w:tr>
      <w:tr>
        <w:trPr/>
        <w:tc>
          <w:tcPr>
            <w:tcW w:w="293" w:type="dxa"/>
            <w:tcBorders/>
            <w:vAlign w:val="center"/>
          </w:tcPr>
          <w:p>
            <w:pPr>
              <w:pStyle w:val="TableContents"/>
              <w:bidi w:val="0"/>
              <w:spacing w:before="0" w:after="283"/>
              <w:jc w:val="both"/>
              <w:rPr/>
            </w:pPr>
            <w:r>
              <w:rPr/>
              <w:t> </w:t>
            </w:r>
          </w:p>
        </w:tc>
        <w:tc>
          <w:tcPr>
            <w:tcW w:w="47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E1 = den oprindelige udnyttelsespris</w:t>
            </w:r>
          </w:p>
        </w:tc>
        <w:tc>
          <w:tcPr>
            <w:tcW w:w="60" w:type="dxa"/>
            <w:tcBorders/>
            <w:vAlign w:val="center"/>
          </w:tcPr>
          <w:p>
            <w:pPr>
              <w:pStyle w:val="TableContents"/>
              <w:bidi w:val="0"/>
              <w:spacing w:before="0" w:after="283"/>
              <w:jc w:val="both"/>
              <w:rPr/>
            </w:pPr>
            <w:r>
              <w:rPr/>
              <w:t> </w:t>
            </w:r>
          </w:p>
        </w:tc>
        <w:tc>
          <w:tcPr>
            <w:tcW w:w="50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E1 = the original exercise price</w:t>
            </w:r>
          </w:p>
        </w:tc>
      </w:tr>
      <w:tr>
        <w:trPr/>
        <w:tc>
          <w:tcPr>
            <w:tcW w:w="293" w:type="dxa"/>
            <w:tcBorders/>
            <w:vAlign w:val="center"/>
          </w:tcPr>
          <w:p>
            <w:pPr>
              <w:pStyle w:val="TableContents"/>
              <w:bidi w:val="0"/>
              <w:spacing w:before="0" w:after="283"/>
              <w:jc w:val="both"/>
              <w:rPr/>
            </w:pPr>
            <w:r>
              <w:rPr/>
              <w:t> </w:t>
            </w:r>
          </w:p>
        </w:tc>
        <w:tc>
          <w:tcPr>
            <w:tcW w:w="47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 = det udbetalte udbytte</w:t>
            </w:r>
          </w:p>
        </w:tc>
        <w:tc>
          <w:tcPr>
            <w:tcW w:w="60" w:type="dxa"/>
            <w:tcBorders/>
            <w:vAlign w:val="center"/>
          </w:tcPr>
          <w:p>
            <w:pPr>
              <w:pStyle w:val="TableContents"/>
              <w:bidi w:val="0"/>
              <w:spacing w:before="0" w:after="283"/>
              <w:jc w:val="both"/>
              <w:rPr/>
            </w:pPr>
            <w:r>
              <w:rPr/>
              <w:t> </w:t>
            </w:r>
          </w:p>
        </w:tc>
        <w:tc>
          <w:tcPr>
            <w:tcW w:w="50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 = dividends paid out</w:t>
            </w:r>
          </w:p>
        </w:tc>
      </w:tr>
      <w:tr>
        <w:trPr/>
        <w:tc>
          <w:tcPr>
            <w:tcW w:w="293" w:type="dxa"/>
            <w:tcBorders/>
            <w:vAlign w:val="center"/>
          </w:tcPr>
          <w:p>
            <w:pPr>
              <w:pStyle w:val="TableContents"/>
              <w:bidi w:val="0"/>
              <w:spacing w:before="0" w:after="283"/>
              <w:jc w:val="both"/>
              <w:rPr/>
            </w:pPr>
            <w:r>
              <w:rPr/>
              <w:t> </w:t>
            </w:r>
          </w:p>
        </w:tc>
        <w:tc>
          <w:tcPr>
            <w:tcW w:w="47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Umax  = 10 % af egenkapitalen, og</w:t>
            </w:r>
          </w:p>
        </w:tc>
        <w:tc>
          <w:tcPr>
            <w:tcW w:w="60" w:type="dxa"/>
            <w:tcBorders/>
            <w:vAlign w:val="center"/>
          </w:tcPr>
          <w:p>
            <w:pPr>
              <w:pStyle w:val="TableContents"/>
              <w:bidi w:val="0"/>
              <w:spacing w:before="0" w:after="283"/>
              <w:jc w:val="both"/>
              <w:rPr/>
            </w:pPr>
            <w:r>
              <w:rPr/>
              <w:t> </w:t>
            </w:r>
          </w:p>
        </w:tc>
        <w:tc>
          <w:tcPr>
            <w:tcW w:w="50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Umax  = 10 per cent of the equity capital, and</w:t>
            </w:r>
          </w:p>
        </w:tc>
      </w:tr>
      <w:tr>
        <w:trPr/>
        <w:tc>
          <w:tcPr>
            <w:tcW w:w="293" w:type="dxa"/>
            <w:tcBorders/>
            <w:vAlign w:val="center"/>
          </w:tcPr>
          <w:p>
            <w:pPr>
              <w:pStyle w:val="TableContents"/>
              <w:bidi w:val="0"/>
              <w:spacing w:before="0" w:after="283"/>
              <w:jc w:val="both"/>
              <w:rPr/>
            </w:pPr>
            <w:r>
              <w:rPr/>
              <w:t> </w:t>
            </w:r>
          </w:p>
        </w:tc>
        <w:tc>
          <w:tcPr>
            <w:tcW w:w="47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 det samlede antal aktier i Selskabet.</w:t>
            </w:r>
          </w:p>
        </w:tc>
        <w:tc>
          <w:tcPr>
            <w:tcW w:w="60" w:type="dxa"/>
            <w:tcBorders/>
            <w:vAlign w:val="center"/>
          </w:tcPr>
          <w:p>
            <w:pPr>
              <w:pStyle w:val="TableContents"/>
              <w:bidi w:val="0"/>
              <w:spacing w:before="0" w:after="283"/>
              <w:jc w:val="both"/>
              <w:rPr/>
            </w:pPr>
            <w:r>
              <w:rPr/>
              <w:t> </w:t>
            </w:r>
          </w:p>
        </w:tc>
        <w:tc>
          <w:tcPr>
            <w:tcW w:w="50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 total number of shares in the Company.</w:t>
            </w:r>
          </w:p>
        </w:tc>
      </w:tr>
      <w:tr>
        <w:trPr/>
        <w:tc>
          <w:tcPr>
            <w:tcW w:w="293" w:type="dxa"/>
            <w:tcBorders/>
            <w:vAlign w:val="center"/>
          </w:tcPr>
          <w:p>
            <w:pPr>
              <w:pStyle w:val="TableContents"/>
              <w:bidi w:val="0"/>
              <w:spacing w:before="0" w:after="283"/>
              <w:jc w:val="both"/>
              <w:rPr/>
            </w:pPr>
            <w:r>
              <w:rPr/>
              <w:t> </w:t>
            </w:r>
          </w:p>
        </w:tc>
        <w:tc>
          <w:tcPr>
            <w:tcW w:w="47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 egenkapital, der skal lægges til grund ved ovenstående justering, er egenkapitalen anført i den årsrapport som godkendes af generalforsamlingen hvor udbytte besluttes, men justeret til markedsværdi. Hvis Selskabet er børsnoteret, fastsættes markedsværdien til aktiernes noterede pris på tidspunktet for beslutningen om at udbetale udbytte. Hvis Selskabet er unoteret, fastsættes markedsværdien fra seneste kapitalrunde i Selskabet hvor en eller flere investorer har tegnet aktier.</w:t>
            </w:r>
          </w:p>
        </w:tc>
        <w:tc>
          <w:tcPr>
            <w:tcW w:w="60" w:type="dxa"/>
            <w:tcBorders/>
            <w:vAlign w:val="center"/>
          </w:tcPr>
          <w:p>
            <w:pPr>
              <w:pStyle w:val="TableContents"/>
              <w:bidi w:val="0"/>
              <w:spacing w:before="0" w:after="283"/>
              <w:jc w:val="both"/>
              <w:rPr/>
            </w:pPr>
            <w:r>
              <w:rPr/>
              <w:t> </w:t>
            </w:r>
          </w:p>
        </w:tc>
        <w:tc>
          <w:tcPr>
            <w:tcW w:w="50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equity capital which shall form the basis of the abovementioned adjustment is the equity capital stipulated in the Annual Report to be adopted at the General Meeting where dividends shall be approved before allocation, but adjusted to market price. If the Company is listed then the market price shall be the listed price of the shares at the time of the decision to pay dividends. If the Company is unlisted then the market price shall be determined by the latest investment round in the Company, in which one or more investors have subscribed shares.</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465"/>
        <w:gridCol w:w="4951"/>
        <w:gridCol w:w="60"/>
        <w:gridCol w:w="4729"/>
      </w:tblGrid>
      <w:tr>
        <w:trPr/>
        <w:tc>
          <w:tcPr>
            <w:tcW w:w="465" w:type="dxa"/>
            <w:tcBorders/>
            <w:vAlign w:val="center"/>
          </w:tcPr>
          <w:p>
            <w:pPr>
              <w:pStyle w:val="TableContents"/>
              <w:bidi w:val="0"/>
              <w:spacing w:before="0" w:after="283"/>
              <w:jc w:val="both"/>
              <w:rPr/>
            </w:pPr>
            <w:r>
              <w:rPr/>
              <w:t>6.8.</w:t>
            </w:r>
          </w:p>
        </w:tc>
        <w:tc>
          <w:tcPr>
            <w:tcW w:w="4951" w:type="dxa"/>
            <w:tcBorders/>
            <w:vAlign w:val="center"/>
          </w:tcPr>
          <w:p>
            <w:pPr>
              <w:pStyle w:val="TableContents"/>
              <w:bidi w:val="0"/>
              <w:spacing w:before="0" w:after="283"/>
              <w:jc w:val="both"/>
              <w:rPr>
                <w:u w:val="single"/>
              </w:rPr>
            </w:pPr>
            <w:r>
              <w:rPr>
                <w:u w:val="single"/>
              </w:rPr>
              <w:t>Andre ændringer i Selskabets kapitalforhold:</w:t>
            </w:r>
          </w:p>
        </w:tc>
        <w:tc>
          <w:tcPr>
            <w:tcW w:w="60" w:type="dxa"/>
            <w:tcBorders/>
            <w:vAlign w:val="center"/>
          </w:tcPr>
          <w:p>
            <w:pPr>
              <w:pStyle w:val="TableContents"/>
              <w:bidi w:val="0"/>
              <w:spacing w:before="0" w:after="283"/>
              <w:jc w:val="both"/>
              <w:rPr/>
            </w:pPr>
            <w:r>
              <w:rPr/>
              <w:t> </w:t>
            </w:r>
          </w:p>
        </w:tc>
        <w:tc>
          <w:tcPr>
            <w:tcW w:w="4729"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Other changes in the Company’s capital position:</w:t>
            </w:r>
          </w:p>
        </w:tc>
      </w:tr>
      <w:tr>
        <w:trPr/>
        <w:tc>
          <w:tcPr>
            <w:tcW w:w="465"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der sker andre ændringer i Selskabets kapitalforhold, der medfører en ændring i warrants økonomiske værdi, skal (medmindre andet er angivet ovenfor) warrants justeres, således at ændringen ikke påvirker warrants økonomiske værdi.</w:t>
            </w:r>
          </w:p>
        </w:tc>
        <w:tc>
          <w:tcPr>
            <w:tcW w:w="60" w:type="dxa"/>
            <w:tcBorders/>
            <w:vAlign w:val="center"/>
          </w:tcPr>
          <w:p>
            <w:pPr>
              <w:pStyle w:val="TableContents"/>
              <w:bidi w:val="0"/>
              <w:spacing w:before="0" w:after="283"/>
              <w:jc w:val="both"/>
              <w:rPr/>
            </w:pPr>
            <w:r>
              <w:rPr/>
              <w:t> </w:t>
            </w:r>
          </w:p>
        </w:tc>
        <w:tc>
          <w:tcPr>
            <w:tcW w:w="47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of other changes in the Company’s capital position causing changes to the financial value of warrants, warrants shall (unless otherwise indicated above) be adjusted in order to ensure that the changes do not influence the financial value of the warrants.</w:t>
            </w:r>
          </w:p>
        </w:tc>
      </w:tr>
      <w:tr>
        <w:trPr/>
        <w:tc>
          <w:tcPr>
            <w:tcW w:w="465"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 beregningsmetode, der skal anvendes ved justeringen, fastsættes af en af bestyrelsen valgt ekstern rådgiver.</w:t>
            </w:r>
          </w:p>
        </w:tc>
        <w:tc>
          <w:tcPr>
            <w:tcW w:w="60" w:type="dxa"/>
            <w:tcBorders/>
            <w:vAlign w:val="center"/>
          </w:tcPr>
          <w:p>
            <w:pPr>
              <w:pStyle w:val="TableContents"/>
              <w:bidi w:val="0"/>
              <w:spacing w:before="0" w:after="283"/>
              <w:jc w:val="both"/>
              <w:rPr/>
            </w:pPr>
            <w:r>
              <w:rPr/>
              <w:t> </w:t>
            </w:r>
          </w:p>
        </w:tc>
        <w:tc>
          <w:tcPr>
            <w:tcW w:w="47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calculation method to be applied to the adjustment shall be decided by an external advisor appointed by the board of directors.</w:t>
            </w:r>
          </w:p>
        </w:tc>
      </w:tr>
      <w:tr>
        <w:trPr/>
        <w:tc>
          <w:tcPr>
            <w:tcW w:w="465"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præciseres, at forhøjelse eller nedsættelse af Selskabets aktiekapital til markedskurs ikke medfører, at der skal finde regulering sted af tegningskursen eller antallet af aktier, der kan tegnes.</w:t>
            </w:r>
          </w:p>
        </w:tc>
        <w:tc>
          <w:tcPr>
            <w:tcW w:w="60" w:type="dxa"/>
            <w:tcBorders/>
            <w:vAlign w:val="center"/>
          </w:tcPr>
          <w:p>
            <w:pPr>
              <w:pStyle w:val="TableContents"/>
              <w:bidi w:val="0"/>
              <w:spacing w:before="0" w:after="283"/>
              <w:jc w:val="both"/>
              <w:rPr/>
            </w:pPr>
            <w:r>
              <w:rPr/>
              <w:t> </w:t>
            </w:r>
          </w:p>
        </w:tc>
        <w:tc>
          <w:tcPr>
            <w:tcW w:w="47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emphasized that increase or decrease of the Company’s share capital at market price does not lead to an adjustment of the subscription price or the number of shares to be subscribed.</w:t>
            </w:r>
          </w:p>
        </w:tc>
      </w:tr>
      <w:tr>
        <w:trPr/>
        <w:tc>
          <w:tcPr>
            <w:tcW w:w="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6.9.</w:t>
            </w:r>
          </w:p>
        </w:tc>
        <w:tc>
          <w:tcPr>
            <w:tcW w:w="4951" w:type="dxa"/>
            <w:tcBorders/>
            <w:vAlign w:val="center"/>
          </w:tcPr>
          <w:p>
            <w:pPr>
              <w:pStyle w:val="TableContents"/>
              <w:bidi w:val="0"/>
              <w:jc w:val="both"/>
              <w:rPr>
                <w:rFonts w:ascii="Times New Roman;Times;Serif" w:hAnsi="Times New Roman;Times;Serif"/>
                <w:sz w:val="20"/>
                <w:u w:val="single"/>
              </w:rPr>
            </w:pPr>
            <w:r>
              <w:rPr>
                <w:rFonts w:ascii="Times New Roman;Times;Serif" w:hAnsi="Times New Roman;Times;Serif"/>
                <w:sz w:val="20"/>
                <w:u w:val="single"/>
              </w:rPr>
              <w:t>Likvidation:</w:t>
            </w:r>
          </w:p>
          <w:p>
            <w:pPr>
              <w:pStyle w:val="TableContents"/>
              <w:bidi w:val="0"/>
              <w:jc w:val="both"/>
              <w:rPr/>
            </w:pPr>
            <w:r>
              <w:rPr/>
              <w:t> </w:t>
            </w:r>
          </w:p>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Selskabet bliver likvideret, fremskyndes et evt. optjeningstidspunkt for alle uudnyttede warrants, således at Warrantindehaveren kan udnytte warrants i en ekstraordinær udnyttelsesperiode umiddelbart før den pågældende transaktion finder sted.</w:t>
            </w:r>
          </w:p>
        </w:tc>
        <w:tc>
          <w:tcPr>
            <w:tcW w:w="60" w:type="dxa"/>
            <w:tcBorders/>
            <w:vAlign w:val="center"/>
          </w:tcPr>
          <w:p>
            <w:pPr>
              <w:pStyle w:val="TableContents"/>
              <w:bidi w:val="0"/>
              <w:spacing w:before="0" w:after="283"/>
              <w:jc w:val="both"/>
              <w:rPr/>
            </w:pPr>
            <w:r>
              <w:rPr/>
              <w:t> </w:t>
            </w:r>
          </w:p>
        </w:tc>
        <w:tc>
          <w:tcPr>
            <w:tcW w:w="4729" w:type="dxa"/>
            <w:tcBorders/>
            <w:vAlign w:val="center"/>
          </w:tcPr>
          <w:p>
            <w:pPr>
              <w:pStyle w:val="TableContents"/>
              <w:bidi w:val="0"/>
              <w:jc w:val="both"/>
              <w:rPr>
                <w:rFonts w:ascii="Times New Roman;Times;Serif" w:hAnsi="Times New Roman;Times;Serif"/>
                <w:sz w:val="20"/>
                <w:u w:val="single"/>
              </w:rPr>
            </w:pPr>
            <w:r>
              <w:rPr>
                <w:rFonts w:ascii="Times New Roman;Times;Serif" w:hAnsi="Times New Roman;Times;Serif"/>
                <w:sz w:val="20"/>
                <w:u w:val="single"/>
              </w:rPr>
              <w:t>Liquidation:</w:t>
            </w:r>
          </w:p>
          <w:p>
            <w:pPr>
              <w:pStyle w:val="TableContents"/>
              <w:bidi w:val="0"/>
              <w:jc w:val="both"/>
              <w:rPr/>
            </w:pPr>
            <w:r>
              <w:rPr/>
              <w:t> </w:t>
            </w:r>
          </w:p>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Should the Company be liquidated, the vesting time, if any, for all non-exercised warrants shall be changed so that the Warrantholder may exercise his/her warrants in an extraordinary exercise period immediately preceding the relevant transaction.</w:t>
            </w:r>
          </w:p>
        </w:tc>
      </w:tr>
      <w:tr>
        <w:trPr/>
        <w:tc>
          <w:tcPr>
            <w:tcW w:w="465" w:type="dxa"/>
            <w:tcBorders/>
            <w:vAlign w:val="center"/>
          </w:tcPr>
          <w:p>
            <w:pPr>
              <w:pStyle w:val="TableContents"/>
              <w:bidi w:val="0"/>
              <w:spacing w:before="0" w:after="283"/>
              <w:jc w:val="both"/>
              <w:rPr/>
            </w:pPr>
            <w:r>
              <w:rPr/>
              <w:t>6.10.</w:t>
            </w:r>
          </w:p>
        </w:tc>
        <w:tc>
          <w:tcPr>
            <w:tcW w:w="4951" w:type="dxa"/>
            <w:tcBorders/>
            <w:vAlign w:val="center"/>
          </w:tcPr>
          <w:p>
            <w:pPr>
              <w:pStyle w:val="TableContents"/>
              <w:bidi w:val="0"/>
              <w:spacing w:before="0" w:after="283"/>
              <w:jc w:val="both"/>
              <w:rPr>
                <w:sz w:val="20"/>
                <w:u w:val="single"/>
              </w:rPr>
            </w:pPr>
            <w:r>
              <w:rPr>
                <w:sz w:val="20"/>
                <w:u w:val="single"/>
              </w:rPr>
              <w:t>Fusion og spaltning:</w:t>
            </w:r>
          </w:p>
        </w:tc>
        <w:tc>
          <w:tcPr>
            <w:tcW w:w="60" w:type="dxa"/>
            <w:tcBorders/>
            <w:vAlign w:val="center"/>
          </w:tcPr>
          <w:p>
            <w:pPr>
              <w:pStyle w:val="TableContents"/>
              <w:bidi w:val="0"/>
              <w:spacing w:before="0" w:after="283"/>
              <w:jc w:val="both"/>
              <w:rPr/>
            </w:pPr>
            <w:r>
              <w:rPr/>
              <w:t> </w:t>
            </w:r>
          </w:p>
        </w:tc>
        <w:tc>
          <w:tcPr>
            <w:tcW w:w="4729"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Merger and split:</w:t>
            </w:r>
          </w:p>
        </w:tc>
      </w:tr>
      <w:tr>
        <w:trPr/>
        <w:tc>
          <w:tcPr>
            <w:tcW w:w="465" w:type="dxa"/>
            <w:tcBorders/>
            <w:vAlign w:val="center"/>
          </w:tcPr>
          <w:p>
            <w:pPr>
              <w:pStyle w:val="TableContents"/>
              <w:bidi w:val="0"/>
              <w:spacing w:before="0" w:after="283"/>
              <w:jc w:val="both"/>
              <w:rPr/>
            </w:pPr>
            <w:r>
              <w:rPr/>
              <w:t> </w:t>
            </w:r>
          </w:p>
        </w:tc>
        <w:tc>
          <w:tcPr>
            <w:tcW w:w="4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Selskabet indgår i en fusion som det fortsættende selskab, bliver warrants ikke påvirket, medmindre der i forbindelse med fusionen sker en kapitalforhøjelse til en anden kurs end markedskursen, idet warrants i så fald justeres i henhold til punkt 6.5.</w:t>
            </w:r>
          </w:p>
        </w:tc>
        <w:tc>
          <w:tcPr>
            <w:tcW w:w="60" w:type="dxa"/>
            <w:tcBorders/>
            <w:vAlign w:val="center"/>
          </w:tcPr>
          <w:p>
            <w:pPr>
              <w:pStyle w:val="TableContents"/>
              <w:bidi w:val="0"/>
              <w:spacing w:before="0" w:after="283"/>
              <w:jc w:val="both"/>
              <w:rPr/>
            </w:pPr>
            <w:r>
              <w:rPr/>
              <w:t> </w:t>
            </w:r>
          </w:p>
        </w:tc>
        <w:tc>
          <w:tcPr>
            <w:tcW w:w="47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merges as the continuing company, warrants shall remain unaffected unless, in connection with the merger, the capital is increased at a price other than the market price and in that case warrants shall be adjusted in accordance with clause 6.5.</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404"/>
        <w:gridCol w:w="131"/>
        <w:gridCol w:w="4940"/>
        <w:gridCol w:w="60"/>
        <w:gridCol w:w="131"/>
        <w:gridCol w:w="4539"/>
      </w:tblGrid>
      <w:tr>
        <w:trPr/>
        <w:tc>
          <w:tcPr>
            <w:tcW w:w="404" w:type="dxa"/>
            <w:tcBorders/>
            <w:vAlign w:val="center"/>
          </w:tcPr>
          <w:p>
            <w:pPr>
              <w:pStyle w:val="TableContents"/>
              <w:bidi w:val="0"/>
              <w:spacing w:before="0" w:after="283"/>
              <w:jc w:val="both"/>
              <w:rPr/>
            </w:pPr>
            <w:r>
              <w:rPr/>
              <w:t> </w:t>
            </w:r>
          </w:p>
        </w:tc>
        <w:tc>
          <w:tcPr>
            <w:tcW w:w="507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Selskabet fusionerer som det ophørende selskab eller bliver spaltet, kan det fortsættende selskabs bestyrelse vælge én af disse muligheder:</w:t>
            </w:r>
          </w:p>
        </w:tc>
        <w:tc>
          <w:tcPr>
            <w:tcW w:w="60" w:type="dxa"/>
            <w:tcBorders/>
            <w:vAlign w:val="center"/>
          </w:tcPr>
          <w:p>
            <w:pPr>
              <w:pStyle w:val="TableContents"/>
              <w:bidi w:val="0"/>
              <w:spacing w:before="0" w:after="283"/>
              <w:jc w:val="both"/>
              <w:rPr/>
            </w:pPr>
            <w:r>
              <w:rPr/>
              <w:t> </w:t>
            </w:r>
          </w:p>
        </w:tc>
        <w:tc>
          <w:tcPr>
            <w:tcW w:w="467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merges as the terminating company or is split, the continuing company's board of directors may elect one of the following possibilities:</w:t>
            </w:r>
          </w:p>
        </w:tc>
      </w:tr>
      <w:tr>
        <w:trPr/>
        <w:tc>
          <w:tcPr>
            <w:tcW w:w="404" w:type="dxa"/>
            <w:tcBorders/>
            <w:vAlign w:val="center"/>
          </w:tcPr>
          <w:p>
            <w:pPr>
              <w:pStyle w:val="TableContents"/>
              <w:bidi w:val="0"/>
              <w:spacing w:before="0" w:after="283"/>
              <w:jc w:val="both"/>
              <w:rPr/>
            </w:pPr>
            <w:r>
              <w:rPr/>
              <w:t> </w:t>
            </w:r>
          </w:p>
        </w:tc>
        <w:tc>
          <w:tcPr>
            <w:tcW w:w="1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4940" w:type="dxa"/>
            <w:tcBorders/>
            <w:vAlign w:val="center"/>
          </w:tcPr>
          <w:p>
            <w:pPr>
              <w:pStyle w:val="TableContents"/>
              <w:bidi w:val="0"/>
              <w:spacing w:before="0" w:after="283"/>
              <w:jc w:val="both"/>
              <w:rPr/>
            </w:pPr>
            <w:r>
              <w:rPr/>
              <w:t>Warrantindehaveren kan umiddelbart inden fusionen/spaltningen udnytte alle ikke udnyttede warrants, der ikke er bortfaldet (inklusive warrants der endnu ikke er optjent), eller</w:t>
            </w:r>
          </w:p>
        </w:tc>
        <w:tc>
          <w:tcPr>
            <w:tcW w:w="60" w:type="dxa"/>
            <w:tcBorders/>
            <w:vAlign w:val="center"/>
          </w:tcPr>
          <w:p>
            <w:pPr>
              <w:pStyle w:val="TableContents"/>
              <w:bidi w:val="0"/>
              <w:spacing w:before="0" w:after="283"/>
              <w:jc w:val="both"/>
              <w:rPr/>
            </w:pPr>
            <w:r>
              <w:rPr/>
              <w:t> </w:t>
            </w:r>
          </w:p>
        </w:tc>
        <w:tc>
          <w:tcPr>
            <w:tcW w:w="1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45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Warrantholder may exercise all non-exercised warrants that are not declared null and void (inclusive of warrants not yet vested) immediately before the merger/split, or</w:t>
            </w:r>
          </w:p>
        </w:tc>
      </w:tr>
      <w:tr>
        <w:trPr/>
        <w:tc>
          <w:tcPr>
            <w:tcW w:w="404" w:type="dxa"/>
            <w:tcBorders/>
            <w:vAlign w:val="center"/>
          </w:tcPr>
          <w:p>
            <w:pPr>
              <w:pStyle w:val="TableContents"/>
              <w:bidi w:val="0"/>
              <w:spacing w:before="0" w:after="283"/>
              <w:jc w:val="both"/>
              <w:rPr/>
            </w:pPr>
            <w:r>
              <w:rPr/>
              <w:t> </w:t>
            </w:r>
          </w:p>
        </w:tc>
        <w:tc>
          <w:tcPr>
            <w:tcW w:w="1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4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erstattes af nye aktie/aktieinstrumenter i de(t) fortsættende selskab(er) af tilsvarende økonomisk værdi før skat. Ved spaltning kan de fortsættende selskaber selv bestemme, i hvilke(t) selskab(er) Warrantindehaverne skal modtage de nye aktie/aktieinstrumenter.</w:t>
            </w:r>
          </w:p>
        </w:tc>
        <w:tc>
          <w:tcPr>
            <w:tcW w:w="60" w:type="dxa"/>
            <w:tcBorders/>
            <w:vAlign w:val="center"/>
          </w:tcPr>
          <w:p>
            <w:pPr>
              <w:pStyle w:val="TableContents"/>
              <w:bidi w:val="0"/>
              <w:spacing w:before="0" w:after="283"/>
              <w:jc w:val="both"/>
              <w:rPr/>
            </w:pPr>
            <w:r>
              <w:rPr/>
              <w:t> </w:t>
            </w:r>
          </w:p>
        </w:tc>
        <w:tc>
          <w:tcPr>
            <w:tcW w:w="1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45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share instruments in the continuing company/companies of a corresponding financial pre-tax value shall replace the warrants. On split the continuing companies may decide in which company/companies the Warrantholders shall receive the new share instruments.</w:t>
            </w:r>
          </w:p>
        </w:tc>
      </w:tr>
      <w:tr>
        <w:trPr/>
        <w:tc>
          <w:tcPr>
            <w:tcW w:w="4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6.11. </w:t>
            </w:r>
          </w:p>
        </w:tc>
        <w:tc>
          <w:tcPr>
            <w:tcW w:w="5071" w:type="dxa"/>
            <w:gridSpan w:val="2"/>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Salg og aktieombytning:</w:t>
            </w:r>
          </w:p>
        </w:tc>
        <w:tc>
          <w:tcPr>
            <w:tcW w:w="60" w:type="dxa"/>
            <w:tcBorders/>
            <w:vAlign w:val="center"/>
          </w:tcPr>
          <w:p>
            <w:pPr>
              <w:pStyle w:val="TableContents"/>
              <w:bidi w:val="0"/>
              <w:spacing w:before="0" w:after="283"/>
              <w:jc w:val="both"/>
              <w:rPr/>
            </w:pPr>
            <w:r>
              <w:rPr/>
              <w:t> </w:t>
            </w:r>
          </w:p>
        </w:tc>
        <w:tc>
          <w:tcPr>
            <w:tcW w:w="4670" w:type="dxa"/>
            <w:gridSpan w:val="2"/>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Sale and exchange of shares:</w:t>
            </w:r>
          </w:p>
        </w:tc>
      </w:tr>
      <w:tr>
        <w:trPr/>
        <w:tc>
          <w:tcPr>
            <w:tcW w:w="404" w:type="dxa"/>
            <w:tcBorders/>
            <w:vAlign w:val="center"/>
          </w:tcPr>
          <w:p>
            <w:pPr>
              <w:pStyle w:val="TableContents"/>
              <w:bidi w:val="0"/>
              <w:spacing w:before="0" w:after="283"/>
              <w:jc w:val="both"/>
              <w:rPr/>
            </w:pPr>
            <w:r>
              <w:rPr/>
              <w:t> </w:t>
            </w:r>
          </w:p>
        </w:tc>
        <w:tc>
          <w:tcPr>
            <w:tcW w:w="507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mere end 50% af aktiekapitalen i Selskabet bliver solgt (ikke tegnet eller udstedt) eller indgår i en aktieombytning, kan bestyrelsen vælge én af disse muligheder:</w:t>
            </w:r>
          </w:p>
        </w:tc>
        <w:tc>
          <w:tcPr>
            <w:tcW w:w="60" w:type="dxa"/>
            <w:tcBorders/>
            <w:vAlign w:val="center"/>
          </w:tcPr>
          <w:p>
            <w:pPr>
              <w:pStyle w:val="TableContents"/>
              <w:bidi w:val="0"/>
              <w:spacing w:before="0" w:after="283"/>
              <w:jc w:val="both"/>
              <w:rPr/>
            </w:pPr>
            <w:r>
              <w:rPr/>
              <w:t> </w:t>
            </w:r>
          </w:p>
        </w:tc>
        <w:tc>
          <w:tcPr>
            <w:tcW w:w="467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more than 50 per cent of the share capital in the Company is sold (not subscribed or issued) or is part of a share swap, the board of directors may elect one of the following possibilities:</w:t>
            </w:r>
          </w:p>
        </w:tc>
      </w:tr>
      <w:tr>
        <w:trPr/>
        <w:tc>
          <w:tcPr>
            <w:tcW w:w="404" w:type="dxa"/>
            <w:tcBorders/>
            <w:vAlign w:val="center"/>
          </w:tcPr>
          <w:p>
            <w:pPr>
              <w:pStyle w:val="TableContents"/>
              <w:bidi w:val="0"/>
              <w:spacing w:before="0" w:after="283"/>
              <w:jc w:val="both"/>
              <w:rPr/>
            </w:pPr>
            <w:r>
              <w:rPr/>
              <w:t> </w:t>
            </w:r>
          </w:p>
        </w:tc>
        <w:tc>
          <w:tcPr>
            <w:tcW w:w="1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4940" w:type="dxa"/>
            <w:tcBorders/>
            <w:vAlign w:val="center"/>
          </w:tcPr>
          <w:p>
            <w:pPr>
              <w:pStyle w:val="TableContents"/>
              <w:bidi w:val="0"/>
              <w:spacing w:before="0" w:after="283"/>
              <w:jc w:val="both"/>
              <w:rPr/>
            </w:pPr>
            <w:r>
              <w:rPr/>
              <w:t>Warrantindehaveren kan umiddelbart inden salget/aktieombytningen udnytte alle ikke-udnyttede warrants, der ikke er bortfaldet (inklusive warrants der endnu ikke er optjent). Herudover indtræder der en pligt, hvorefter Warrantindehaverne skal sælge de tegnede aktier på samme vilkår som de øvrige aktionærer (ved salg).</w:t>
            </w:r>
          </w:p>
        </w:tc>
        <w:tc>
          <w:tcPr>
            <w:tcW w:w="60" w:type="dxa"/>
            <w:tcBorders/>
            <w:vAlign w:val="center"/>
          </w:tcPr>
          <w:p>
            <w:pPr>
              <w:pStyle w:val="TableContents"/>
              <w:bidi w:val="0"/>
              <w:spacing w:before="0" w:after="283"/>
              <w:jc w:val="both"/>
              <w:rPr/>
            </w:pPr>
            <w:r>
              <w:rPr/>
              <w:t> </w:t>
            </w:r>
          </w:p>
        </w:tc>
        <w:tc>
          <w:tcPr>
            <w:tcW w:w="1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4539" w:type="dxa"/>
            <w:tcBorders/>
            <w:vAlign w:val="center"/>
          </w:tcPr>
          <w:p>
            <w:pPr>
              <w:pStyle w:val="TableContents"/>
              <w:bidi w:val="0"/>
              <w:spacing w:before="0" w:after="283"/>
              <w:jc w:val="both"/>
              <w:rPr/>
            </w:pPr>
            <w:r>
              <w:rPr/>
              <w:t>The Warrantholder may exercise all non-exercised warrants that are not declared null and void (inclusive of warrants not yet vested) immediately before the sale/swap of shares. Furthermore, the Warrantholder shall undertake an obligation to sell the subscribed shares on the same conditions as the other shareholders (when selling)</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400"/>
        <w:gridCol w:w="5652"/>
        <w:gridCol w:w="60"/>
        <w:gridCol w:w="183"/>
        <w:gridCol w:w="3910"/>
      </w:tblGrid>
      <w:tr>
        <w:trPr/>
        <w:tc>
          <w:tcPr>
            <w:tcW w:w="400" w:type="dxa"/>
            <w:tcBorders/>
            <w:vAlign w:val="center"/>
          </w:tcPr>
          <w:p>
            <w:pPr>
              <w:pStyle w:val="TableContents"/>
              <w:bidi w:val="0"/>
              <w:spacing w:before="0" w:after="283"/>
              <w:jc w:val="both"/>
              <w:rPr/>
            </w:pPr>
            <w:r>
              <w:rPr/>
              <w:t>b)</w:t>
            </w:r>
          </w:p>
        </w:tc>
        <w:tc>
          <w:tcPr>
            <w:tcW w:w="56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Tildelte warrants erstattes af aktieinstrumenter i det erhvervende selskab af tilsvarende økonomisk værdi før skat.</w:t>
            </w:r>
          </w:p>
        </w:tc>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3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instruments in the acquiring company of a corresponding pre-tax value shall replace the granted warrants.  </w:t>
            </w:r>
          </w:p>
        </w:tc>
      </w:tr>
      <w:tr>
        <w:trPr/>
        <w:tc>
          <w:tcPr>
            <w:tcW w:w="400" w:type="dxa"/>
            <w:tcBorders/>
            <w:vAlign w:val="center"/>
          </w:tcPr>
          <w:p>
            <w:pPr>
              <w:pStyle w:val="TableContents"/>
              <w:bidi w:val="0"/>
              <w:spacing w:before="0" w:after="283"/>
              <w:jc w:val="both"/>
              <w:rPr/>
            </w:pPr>
            <w:r>
              <w:rPr/>
              <w:t>c)</w:t>
            </w:r>
          </w:p>
        </w:tc>
        <w:tc>
          <w:tcPr>
            <w:tcW w:w="56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Tildelte warrants fortsætter uændret.</w:t>
            </w:r>
          </w:p>
        </w:tc>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3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 warrants continue unchanged.  </w:t>
            </w:r>
          </w:p>
        </w:tc>
      </w:tr>
      <w:tr>
        <w:trPr/>
        <w:tc>
          <w:tcPr>
            <w:tcW w:w="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6.12. </w:t>
            </w:r>
          </w:p>
        </w:tc>
        <w:tc>
          <w:tcPr>
            <w:tcW w:w="5652"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Fælles bestemmelser vedrørende 6.9-6.11:</w:t>
            </w:r>
          </w:p>
        </w:tc>
        <w:tc>
          <w:tcPr>
            <w:tcW w:w="60" w:type="dxa"/>
            <w:tcBorders/>
            <w:vAlign w:val="center"/>
          </w:tcPr>
          <w:p>
            <w:pPr>
              <w:pStyle w:val="TableContents"/>
              <w:bidi w:val="0"/>
              <w:spacing w:before="0" w:after="283"/>
              <w:jc w:val="both"/>
              <w:rPr/>
            </w:pPr>
            <w:r>
              <w:rPr/>
              <w:t> </w:t>
            </w:r>
          </w:p>
        </w:tc>
        <w:tc>
          <w:tcPr>
            <w:tcW w:w="4093" w:type="dxa"/>
            <w:gridSpan w:val="2"/>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Common provisions regarding 6.9-6.11:</w:t>
            </w:r>
          </w:p>
        </w:tc>
      </w:tr>
      <w:tr>
        <w:trPr/>
        <w:tc>
          <w:tcPr>
            <w:tcW w:w="400" w:type="dxa"/>
            <w:tcBorders/>
            <w:vAlign w:val="center"/>
          </w:tcPr>
          <w:p>
            <w:pPr>
              <w:pStyle w:val="TableContents"/>
              <w:bidi w:val="0"/>
              <w:spacing w:before="0" w:after="283"/>
              <w:jc w:val="both"/>
              <w:rPr/>
            </w:pPr>
            <w:r>
              <w:rPr/>
              <w:t> </w:t>
            </w:r>
          </w:p>
        </w:tc>
        <w:tc>
          <w:tcPr>
            <w:tcW w:w="5652" w:type="dxa"/>
            <w:tcBorders/>
            <w:vAlign w:val="center"/>
          </w:tcPr>
          <w:p>
            <w:pPr>
              <w:pStyle w:val="TableContents"/>
              <w:bidi w:val="0"/>
              <w:spacing w:before="0" w:after="283"/>
              <w:jc w:val="both"/>
              <w:rPr/>
            </w:pPr>
            <w:r>
              <w:rPr/>
              <w:t>Selskabet er forpligtet til at give Warrantindehaveren skriftlig meddelelse, hvis en af de ovenfor nævnte transaktioner finder sted. Når Warrantindehaveren har modtaget den skriftlige meddelelse, har Warrantindehaveren – i de tilfælde, hvor Warrantindehaveren ekstraordinært kan udnytte warrants, jf. 6.9-6.11 – 2 uger til skriftligt at informere Selskabet om, hvorvidt han/hun vil gøre brug af tilbuddet. Hvis Warrantindehaveren ikke har givet Selskabet skriftligt svar inden 2-uger eller undlader at betale inden for den betalingsfrist, der er fastsat, bortfalder warrants uden yderligere varsel og uden kompensation. Udnyttelseskursen kan ikke komme under aktiernes nominelle værdi.</w:t>
            </w:r>
          </w:p>
        </w:tc>
        <w:tc>
          <w:tcPr>
            <w:tcW w:w="60" w:type="dxa"/>
            <w:tcBorders/>
            <w:vAlign w:val="center"/>
          </w:tcPr>
          <w:p>
            <w:pPr>
              <w:pStyle w:val="TableContents"/>
              <w:bidi w:val="0"/>
              <w:spacing w:before="0" w:after="283"/>
              <w:jc w:val="both"/>
              <w:rPr/>
            </w:pPr>
            <w:r>
              <w:rPr/>
              <w:t> </w:t>
            </w:r>
          </w:p>
        </w:tc>
        <w:tc>
          <w:tcPr>
            <w:tcW w:w="409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one of the transactions mentioned above is made, the Company shall inform the Warrantholder hereof by written notice. Upon receipt of the written notice, the Warrantholder shall – in cases where the Warrantholder may extraordinarily exercise warrants, see 6.9–6.11 – inform the Company in writing whether he/she will make use of the offer. If the Warrantholder has not answered the Company in writing within 2 weeks or fails to pay within the fixed time, warrants shall become null and void without further notice or compensation. The exercise price cannot go below the nominal value of the shares.</w:t>
            </w:r>
          </w:p>
        </w:tc>
      </w:tr>
      <w:tr>
        <w:trPr/>
        <w:tc>
          <w:tcPr>
            <w:tcW w:w="400" w:type="dxa"/>
            <w:tcBorders/>
            <w:vAlign w:val="center"/>
          </w:tcPr>
          <w:p>
            <w:pPr>
              <w:pStyle w:val="TableContents"/>
              <w:bidi w:val="0"/>
              <w:spacing w:before="0" w:after="283"/>
              <w:jc w:val="both"/>
              <w:rPr/>
            </w:pPr>
            <w:r>
              <w:rPr/>
              <w:t> </w:t>
            </w:r>
          </w:p>
        </w:tc>
        <w:tc>
          <w:tcPr>
            <w:tcW w:w="5652" w:type="dxa"/>
            <w:tcBorders/>
            <w:vAlign w:val="center"/>
          </w:tcPr>
          <w:p>
            <w:pPr>
              <w:pStyle w:val="TableContents"/>
              <w:bidi w:val="0"/>
              <w:spacing w:before="0" w:after="283"/>
              <w:jc w:val="both"/>
              <w:rPr/>
            </w:pPr>
            <w:r>
              <w:rPr/>
              <w:t>Warrantindehaverens rettigheder i anledning af en beslutning truffet af et kompetent organ i selskabet, jf. 6.9-6.11, er betinget af, at den relevante beslutning efterfølgende registreres i Erhvervsstyrelsen, hvis registrering er en gyldighedsbetingelse.</w:t>
            </w:r>
          </w:p>
        </w:tc>
        <w:tc>
          <w:tcPr>
            <w:tcW w:w="60" w:type="dxa"/>
            <w:tcBorders/>
            <w:vAlign w:val="center"/>
          </w:tcPr>
          <w:p>
            <w:pPr>
              <w:pStyle w:val="TableContents"/>
              <w:bidi w:val="0"/>
              <w:spacing w:before="0" w:after="283"/>
              <w:jc w:val="both"/>
              <w:rPr/>
            </w:pPr>
            <w:r>
              <w:rPr/>
              <w:t> </w:t>
            </w:r>
          </w:p>
        </w:tc>
        <w:tc>
          <w:tcPr>
            <w:tcW w:w="409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Warrantholder’s rights in connection with decisions made by any competent company body, see clause 6.9–6.11, shall be contingent on subsequent registration of the relevant decision with the Danish Business Authority provided that registration is a condition of its validity.</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293"/>
        <w:gridCol w:w="5240"/>
        <w:gridCol w:w="60"/>
        <w:gridCol w:w="4612"/>
      </w:tblGrid>
      <w:tr>
        <w:trPr/>
        <w:tc>
          <w:tcPr>
            <w:tcW w:w="29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7. </w:t>
            </w:r>
          </w:p>
        </w:tc>
        <w:tc>
          <w:tcPr>
            <w:tcW w:w="5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OVERDRAGELSE, PANTSÆTNING OG KREDITORFORFØLGNING</w:t>
            </w:r>
            <w:r>
              <w:rPr>
                <w:rFonts w:ascii="Times New Roman;Times;Serif" w:hAnsi="Times New Roman;Times;Serif"/>
                <w:sz w:val="20"/>
              </w:rPr>
              <w:t> </w:t>
            </w:r>
          </w:p>
        </w:tc>
        <w:tc>
          <w:tcPr>
            <w:tcW w:w="60" w:type="dxa"/>
            <w:tcBorders/>
            <w:vAlign w:val="center"/>
          </w:tcPr>
          <w:p>
            <w:pPr>
              <w:pStyle w:val="TableContents"/>
              <w:bidi w:val="0"/>
              <w:spacing w:before="0" w:after="283"/>
              <w:jc w:val="both"/>
              <w:rPr/>
            </w:pPr>
            <w:r>
              <w:rPr/>
              <w:t> </w:t>
            </w:r>
          </w:p>
        </w:tc>
        <w:tc>
          <w:tcPr>
            <w:tcW w:w="46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PLEDGE AND ENFORCEMENT</w:t>
            </w:r>
          </w:p>
        </w:tc>
      </w:tr>
      <w:tr>
        <w:trPr/>
        <w:tc>
          <w:tcPr>
            <w:tcW w:w="2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w:t>
            </w:r>
          </w:p>
        </w:tc>
        <w:tc>
          <w:tcPr>
            <w:tcW w:w="5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Tildelte warrants kan ikke gøres til genstand for udlæg, overdrages eller på anden måde overføres, ej heller i forbindelse med bodeling, og hverken til eje eller til sikkerhed, uden bestyrelsens samtykke. Warrantindehaverens warrants kan dog overgå til Warrantindehaverens ægtefælle/samlever og/eller livsarvinger i tilfælde af Warrantindehaverens død. Det er en betingelse herfor, at modtageren underskriver den gældende warrantaftale samt, såfremt dette kræves af bestyrelsen, en ejeraftale.</w:t>
            </w:r>
          </w:p>
        </w:tc>
        <w:tc>
          <w:tcPr>
            <w:tcW w:w="60" w:type="dxa"/>
            <w:tcBorders/>
            <w:vAlign w:val="center"/>
          </w:tcPr>
          <w:p>
            <w:pPr>
              <w:pStyle w:val="TableContents"/>
              <w:bidi w:val="0"/>
              <w:spacing w:before="0" w:after="283"/>
              <w:jc w:val="both"/>
              <w:rPr/>
            </w:pPr>
            <w:r>
              <w:rPr/>
              <w:t> </w:t>
            </w:r>
          </w:p>
        </w:tc>
        <w:tc>
          <w:tcPr>
            <w:tcW w:w="46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shall not be subject to charging orders, transfer of any kind, including in connection with division of property on divorce or legal separation, for ownership or as security without the consent of the board of directors. The Warrantholder’s warrants may, however, be transferred to the Warrantholder’s spouse/cohabitant and/or issue in the event of the Warrantholder’s death. It is a condition precedent that the recipient signs the applicable warrant agreement and, to the extent required by the board of directors, a shareholders’ agreement.</w:t>
            </w:r>
          </w:p>
        </w:tc>
      </w:tr>
      <w:tr>
        <w:trPr/>
        <w:tc>
          <w:tcPr>
            <w:tcW w:w="29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8. </w:t>
            </w:r>
          </w:p>
        </w:tc>
        <w:tc>
          <w:tcPr>
            <w:tcW w:w="5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TEGNING AF NYE AKTIER VED UDNYTTELSE AF WARRANTS</w:t>
            </w:r>
          </w:p>
        </w:tc>
        <w:tc>
          <w:tcPr>
            <w:tcW w:w="60" w:type="dxa"/>
            <w:tcBorders/>
            <w:vAlign w:val="center"/>
          </w:tcPr>
          <w:p>
            <w:pPr>
              <w:pStyle w:val="TableContents"/>
              <w:bidi w:val="0"/>
              <w:spacing w:before="0" w:after="283"/>
              <w:jc w:val="both"/>
              <w:rPr/>
            </w:pPr>
            <w:r>
              <w:rPr/>
              <w:t> </w:t>
            </w:r>
          </w:p>
        </w:tc>
        <w:tc>
          <w:tcPr>
            <w:tcW w:w="46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SUBSCRIPTION FOR NEW SHARES BY EXERCISE OF WARRANTS</w:t>
            </w:r>
          </w:p>
        </w:tc>
      </w:tr>
      <w:tr>
        <w:trPr/>
        <w:tc>
          <w:tcPr>
            <w:tcW w:w="2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8.1.</w:t>
            </w:r>
          </w:p>
        </w:tc>
        <w:tc>
          <w:tcPr>
            <w:tcW w:w="5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Tegning af nye aktier ved udnyttelse af tildelte warrants finder sted ved, at Warrantindehaveren afleverer en af Selskabet udarbejdet udnyttelsesmeddelelse til Selskabet senest kl. 16:00 CET den sidste dag i den relevante udnyttelsesperiode. Udnyttelsesmeddelelsen skal være udfyldt med alle informationer. Udnyttelsesprisen for de nye aktier, der skal betales ved et kontant indskud, skal være modtaget af Selskabet senest på den sidste dag i den relevante udnyttelsesperiode.</w:t>
            </w:r>
          </w:p>
        </w:tc>
        <w:tc>
          <w:tcPr>
            <w:tcW w:w="60" w:type="dxa"/>
            <w:tcBorders/>
            <w:vAlign w:val="center"/>
          </w:tcPr>
          <w:p>
            <w:pPr>
              <w:pStyle w:val="TableContents"/>
              <w:bidi w:val="0"/>
              <w:spacing w:before="0" w:after="283"/>
              <w:jc w:val="both"/>
              <w:rPr/>
            </w:pPr>
            <w:r>
              <w:rPr/>
              <w:t> </w:t>
            </w:r>
          </w:p>
        </w:tc>
        <w:tc>
          <w:tcPr>
            <w:tcW w:w="46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Subscription for new shares by exercise of granted warrants must be made through submission by the Warrantholder no later than the last day of the relevant exercise period at 16:00 CET to the Company of an exercise notice drafted by the Company. The exercise notice shall be filled in with all information. The Company must have received the exercise price for the new shares, payable as a cash contribution, by the last day of the relevant exercise period.</w:t>
            </w:r>
          </w:p>
        </w:tc>
      </w:tr>
      <w:tr>
        <w:trPr/>
        <w:tc>
          <w:tcPr>
            <w:tcW w:w="2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8.2.</w:t>
            </w:r>
          </w:p>
        </w:tc>
        <w:tc>
          <w:tcPr>
            <w:tcW w:w="5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den i punkt. 8.1 angivne frist overskrides, enten således at udnyttelsesmeddelelsen i udfyldt stand eller betalingen ikke er Selskabet i hænde inden kl. 16 på den sidste dag i udnyttelsesperioden, anses tegningen for ugyldig, og Warrantindehaveren kan i denne situation ikke anses for herved at have udnyttet sine warrants for en eventuel efterfølgende udnyttelsesperiode.</w:t>
            </w:r>
          </w:p>
        </w:tc>
        <w:tc>
          <w:tcPr>
            <w:tcW w:w="60" w:type="dxa"/>
            <w:tcBorders/>
            <w:vAlign w:val="center"/>
          </w:tcPr>
          <w:p>
            <w:pPr>
              <w:pStyle w:val="TableContents"/>
              <w:bidi w:val="0"/>
              <w:spacing w:before="0" w:after="283"/>
              <w:jc w:val="both"/>
              <w:rPr/>
            </w:pPr>
            <w:r>
              <w:rPr/>
              <w:t> </w:t>
            </w:r>
          </w:p>
        </w:tc>
        <w:tc>
          <w:tcPr>
            <w:tcW w:w="46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limitation period set forth in clause 8.1 expires as a result of the Company not having received the filled-in exercise notice or the payment by 16:00 of the last day of the exercise period, the subscription shall be deemed invalid, and in this situation the Warrantholder shall not be considered as having exercised his/her warrants for a possible subsequent exercise period.</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293"/>
        <w:gridCol w:w="4969"/>
        <w:gridCol w:w="60"/>
        <w:gridCol w:w="4883"/>
      </w:tblGrid>
      <w:tr>
        <w:trPr/>
        <w:tc>
          <w:tcPr>
            <w:tcW w:w="2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8.3.</w:t>
            </w:r>
          </w:p>
        </w:tc>
        <w:tc>
          <w:tcPr>
            <w:tcW w:w="4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warrants, som Warrantindehaveren ikke har udnyttet i den sidste udnyttelsesperiode, bortfalder uden yderligere varsel og uden kompensation.</w:t>
            </w:r>
          </w:p>
        </w:tc>
        <w:tc>
          <w:tcPr>
            <w:tcW w:w="60" w:type="dxa"/>
            <w:tcBorders/>
            <w:vAlign w:val="center"/>
          </w:tcPr>
          <w:p>
            <w:pPr>
              <w:pStyle w:val="TableContents"/>
              <w:bidi w:val="0"/>
              <w:spacing w:before="0" w:after="283"/>
              <w:jc w:val="both"/>
              <w:rPr/>
            </w:pPr>
            <w:r>
              <w:rPr/>
              <w:t> </w:t>
            </w:r>
          </w:p>
        </w:tc>
        <w:tc>
          <w:tcPr>
            <w:tcW w:w="48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not exercised by the Warrantholder during the last exercise period shall become null and void without further notice and without compensation.</w:t>
            </w:r>
          </w:p>
        </w:tc>
      </w:tr>
      <w:tr>
        <w:trPr/>
        <w:tc>
          <w:tcPr>
            <w:tcW w:w="2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8.4.</w:t>
            </w:r>
          </w:p>
        </w:tc>
        <w:tc>
          <w:tcPr>
            <w:tcW w:w="4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Når den kapitalforhøjelse, som udnyttelsen af warrants har medført, er registreret i Erhvervsstyrelsen, modtager Warrantindehaveren fra Selskabet dokumentation for sit ejerskab til aktier i Selskabet.</w:t>
            </w:r>
          </w:p>
        </w:tc>
        <w:tc>
          <w:tcPr>
            <w:tcW w:w="60" w:type="dxa"/>
            <w:tcBorders/>
            <w:vAlign w:val="center"/>
          </w:tcPr>
          <w:p>
            <w:pPr>
              <w:pStyle w:val="TableContents"/>
              <w:bidi w:val="0"/>
              <w:spacing w:before="0" w:after="283"/>
              <w:jc w:val="both"/>
              <w:rPr/>
            </w:pPr>
            <w:r>
              <w:rPr/>
              <w:t> </w:t>
            </w:r>
          </w:p>
        </w:tc>
        <w:tc>
          <w:tcPr>
            <w:tcW w:w="48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the capital increase caused by exercise of warrants has been registered with the Danish Business Authority, the Warrantholder shall receive, from the Company, proof of his shareholding in the Company.</w:t>
            </w:r>
          </w:p>
        </w:tc>
      </w:tr>
      <w:tr>
        <w:trPr/>
        <w:tc>
          <w:tcPr>
            <w:tcW w:w="2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8.5.</w:t>
            </w:r>
          </w:p>
        </w:tc>
        <w:tc>
          <w:tcPr>
            <w:tcW w:w="4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Forud for udnyttelse skal Warrantindehaveren tiltræde Selskabets til enhver tid gældende ejeraftale eller en særskilt ejeraftale omfattende de af Selskabets aktionærer, som har tegnet aktier ved udnyttelse af warrants. Det samme gælder Warrantindehaverens arvinger /dødsbo.</w:t>
            </w:r>
          </w:p>
        </w:tc>
        <w:tc>
          <w:tcPr>
            <w:tcW w:w="60" w:type="dxa"/>
            <w:tcBorders/>
            <w:vAlign w:val="center"/>
          </w:tcPr>
          <w:p>
            <w:pPr>
              <w:pStyle w:val="TableContents"/>
              <w:bidi w:val="0"/>
              <w:spacing w:before="0" w:after="283"/>
              <w:jc w:val="both"/>
              <w:rPr/>
            </w:pPr>
            <w:r>
              <w:rPr/>
              <w:t> </w:t>
            </w:r>
          </w:p>
        </w:tc>
        <w:tc>
          <w:tcPr>
            <w:tcW w:w="48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exercise of warrants, the Warrantholder shall adhere to the Company’s shareholders’ agreement or a separate shareholders’ agreement comprising those shareholders of the Company that have subscribed for shares by exercise of warrants. The same applies to the heirs/estate of the Warrantholder.</w:t>
            </w:r>
          </w:p>
        </w:tc>
      </w:tr>
      <w:tr>
        <w:trPr/>
        <w:tc>
          <w:tcPr>
            <w:tcW w:w="293" w:type="dxa"/>
            <w:tcBorders/>
            <w:vAlign w:val="center"/>
          </w:tcPr>
          <w:p>
            <w:pPr>
              <w:pStyle w:val="TableContents"/>
              <w:bidi w:val="0"/>
              <w:spacing w:before="0" w:after="283"/>
              <w:jc w:val="both"/>
              <w:rPr/>
            </w:pPr>
            <w:r>
              <w:rPr/>
              <w:t> </w:t>
            </w:r>
          </w:p>
        </w:tc>
        <w:tc>
          <w:tcPr>
            <w:tcW w:w="4969" w:type="dxa"/>
            <w:tcBorders/>
            <w:vAlign w:val="center"/>
          </w:tcPr>
          <w:p>
            <w:pPr>
              <w:pStyle w:val="TableContents"/>
              <w:bidi w:val="0"/>
              <w:spacing w:before="0" w:after="283"/>
              <w:jc w:val="both"/>
              <w:rPr/>
            </w:pPr>
            <w:r>
              <w:rPr/>
              <w:t>Warrantindehaveren er bekendt med og accepterer, at ovennævnte ejeraftaler kan indeholde i) forpligtelser til at sælge aktierne ved Warrantindehaverens fratræden, uanset årsag, til en pris der kan afvige fra markedsværdien, ii) konkurrence- og kundeklausuler, iii) salgsbegrænsninger og iv) andre restriktioner på Warrantindehaveren, som kan være byrdefulde for Warrantindehaveren.</w:t>
            </w:r>
          </w:p>
        </w:tc>
        <w:tc>
          <w:tcPr>
            <w:tcW w:w="60" w:type="dxa"/>
            <w:tcBorders/>
            <w:vAlign w:val="center"/>
          </w:tcPr>
          <w:p>
            <w:pPr>
              <w:pStyle w:val="TableContents"/>
              <w:bidi w:val="0"/>
              <w:spacing w:before="0" w:after="283"/>
              <w:jc w:val="both"/>
              <w:rPr/>
            </w:pPr>
            <w:r>
              <w:rPr/>
              <w:t> </w:t>
            </w:r>
          </w:p>
        </w:tc>
        <w:tc>
          <w:tcPr>
            <w:tcW w:w="4883" w:type="dxa"/>
            <w:tcBorders/>
            <w:vAlign w:val="center"/>
          </w:tcPr>
          <w:p>
            <w:pPr>
              <w:pStyle w:val="TableContents"/>
              <w:bidi w:val="0"/>
              <w:spacing w:before="0" w:after="283"/>
              <w:jc w:val="both"/>
              <w:rPr/>
            </w:pPr>
            <w:r>
              <w:rPr/>
              <w:t>The Warrantholder accepts and acknowledges that the above-mentioned shareholders’ agreement may contain i) obligations to sell shares upon termination of the Warrantholder’s employment, irrespective of the cause, at a price which may deviate from the market value; ii) non-competition and non-solicitation clauses; iii) sales restrictions and iv) other restrictions which may be burdensome for the Warrantholder.</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03"/>
        <w:gridCol w:w="4116"/>
        <w:gridCol w:w="60"/>
        <w:gridCol w:w="5726"/>
      </w:tblGrid>
      <w:tr>
        <w:trPr/>
        <w:tc>
          <w:tcPr>
            <w:tcW w:w="30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9. </w:t>
            </w:r>
          </w:p>
        </w:tc>
        <w:tc>
          <w:tcPr>
            <w:tcW w:w="4116" w:type="dxa"/>
            <w:tcBorders/>
            <w:vAlign w:val="center"/>
          </w:tcPr>
          <w:p>
            <w:pPr>
              <w:pStyle w:val="TableContents"/>
              <w:bidi w:val="0"/>
              <w:spacing w:before="0" w:after="283"/>
              <w:jc w:val="both"/>
              <w:rPr>
                <w:b/>
              </w:rPr>
            </w:pPr>
            <w:r>
              <w:rPr>
                <w:b/>
              </w:rPr>
              <w:t>DE NYE ORDINÆRE AKTIERS RETTIGHEDER</w:t>
            </w:r>
          </w:p>
        </w:tc>
        <w:tc>
          <w:tcPr>
            <w:tcW w:w="60" w:type="dxa"/>
            <w:tcBorders/>
            <w:vAlign w:val="center"/>
          </w:tcPr>
          <w:p>
            <w:pPr>
              <w:pStyle w:val="TableContents"/>
              <w:bidi w:val="0"/>
              <w:spacing w:before="0" w:after="283"/>
              <w:jc w:val="both"/>
              <w:rPr/>
            </w:pPr>
            <w:r>
              <w:rPr/>
              <w:t> </w:t>
            </w:r>
          </w:p>
        </w:tc>
        <w:tc>
          <w:tcPr>
            <w:tcW w:w="572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THE RIGHTS OF NEW ORDINARY SHARES</w:t>
            </w:r>
          </w:p>
        </w:tc>
      </w:tr>
      <w:tr>
        <w:trPr/>
        <w:tc>
          <w:tcPr>
            <w:tcW w:w="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9.1.</w:t>
            </w:r>
          </w:p>
        </w:tc>
        <w:tc>
          <w:tcPr>
            <w:tcW w:w="41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Udover de ovenfor anførte vilkår for den til de udstedte warrants hørende kapitalforhøjelse gælder følgende vilkår:</w:t>
            </w:r>
          </w:p>
        </w:tc>
        <w:tc>
          <w:tcPr>
            <w:tcW w:w="60" w:type="dxa"/>
            <w:tcBorders/>
            <w:vAlign w:val="center"/>
          </w:tcPr>
          <w:p>
            <w:pPr>
              <w:pStyle w:val="TableContents"/>
              <w:bidi w:val="0"/>
              <w:spacing w:before="0" w:after="283"/>
              <w:jc w:val="both"/>
              <w:rPr/>
            </w:pPr>
            <w:r>
              <w:rPr/>
              <w:t> </w:t>
            </w:r>
          </w:p>
        </w:tc>
        <w:tc>
          <w:tcPr>
            <w:tcW w:w="5726" w:type="dxa"/>
            <w:tcBorders/>
            <w:vAlign w:val="center"/>
          </w:tcPr>
          <w:p>
            <w:pPr>
              <w:pStyle w:val="TableContents"/>
              <w:bidi w:val="0"/>
              <w:spacing w:before="0" w:after="283"/>
              <w:jc w:val="both"/>
              <w:rPr/>
            </w:pPr>
            <w:r>
              <w:rPr/>
              <w:t>In addition to the terms and conditions set forth above, the increase of the share capital relating to the warrants granted shall be subject to the following terms and conditions:</w:t>
            </w:r>
          </w:p>
        </w:tc>
      </w:tr>
    </w:tbl>
    <w:tbl>
      <w:tblPr>
        <w:tblW w:w="10205" w:type="dxa"/>
        <w:jc w:val="left"/>
        <w:tblInd w:w="0" w:type="dxa"/>
        <w:tblLayout w:type="fixed"/>
        <w:tblCellMar>
          <w:top w:w="0" w:type="dxa"/>
          <w:left w:w="0" w:type="dxa"/>
          <w:bottom w:w="0" w:type="dxa"/>
          <w:right w:w="0" w:type="dxa"/>
        </w:tblCellMar>
      </w:tblPr>
      <w:tblGrid>
        <w:gridCol w:w="75"/>
        <w:gridCol w:w="80"/>
        <w:gridCol w:w="4999"/>
        <w:gridCol w:w="60"/>
        <w:gridCol w:w="80"/>
        <w:gridCol w:w="4911"/>
      </w:tblGrid>
      <w:tr>
        <w:trPr/>
        <w:tc>
          <w:tcPr>
            <w:tcW w:w="75"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aktier udstedes i aktier à DKK 1,00 eller multipla heraf,</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will be divided into shares of nominal DKK 1.00 or multiples hereof;</w:t>
            </w:r>
          </w:p>
        </w:tc>
      </w:tr>
      <w:tr>
        <w:trPr/>
        <w:tc>
          <w:tcPr>
            <w:tcW w:w="75"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aktier skal give ret til udbytte i selskabet for det løbende regnskabsår, hvori aktierne tegnes, på lige fod med de eksisterende aktier og andre rettigheder i selskabet fra og med datoen for tegningen af aktierne,</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will carry dividend rights for the financial year in which subscription takes place on equal terms with the existing shares as well as other rights in the company as from the day of subscription of the shares;</w:t>
            </w:r>
          </w:p>
        </w:tc>
      </w:tr>
      <w:tr>
        <w:trPr/>
        <w:tc>
          <w:tcPr>
            <w:tcW w:w="75"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aktier skal tilhøre samme aktieklasse, som de eksisterende aktier i selskabet,</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shall belong to the same share class as the existing shares in the company;</w:t>
            </w:r>
          </w:p>
        </w:tc>
      </w:tr>
      <w:tr>
        <w:trPr/>
        <w:tc>
          <w:tcPr>
            <w:tcW w:w="75"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Kapitalforhøjelsen sker uden fortegningsret for de hidtidige aktionærer, idet tegningen sker på baggrund af warrants tildelt til Selskabets eller dets datterselskabers direktionsmedlemmer og øvrige medarbejdere,</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capital increase shall be made without any pre-emption rights for the existing shareholders, given that the subscription is based on warrants granted to the Company’s or its subsidiaries’ members of the management or other employees;</w:t>
            </w:r>
          </w:p>
        </w:tc>
      </w:tr>
      <w:tr>
        <w:trPr/>
        <w:tc>
          <w:tcPr>
            <w:tcW w:w="75"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Der skal ikke gælde indskrænkninger i den til de nye aktier knyttede fortegningsret ved fremtidige kapitalforhøjelser,</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pre-emption rights attached to the new shares shall not be subject to any restrictions in the event of future capital increases;</w:t>
            </w:r>
          </w:p>
        </w:tc>
      </w:tr>
      <w:tr>
        <w:trPr/>
        <w:tc>
          <w:tcPr>
            <w:tcW w:w="75"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Fristen for tegning af de nye aktier beregnes på baggrund af bestemmelserne ovenfor,</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11" w:type="dxa"/>
            <w:tcBorders/>
            <w:vAlign w:val="center"/>
          </w:tcPr>
          <w:p>
            <w:pPr>
              <w:pStyle w:val="TableContents"/>
              <w:bidi w:val="0"/>
              <w:spacing w:before="0" w:after="283"/>
              <w:jc w:val="both"/>
              <w:rPr/>
            </w:pPr>
            <w:r>
              <w:rPr/>
              <w:t>The deadline for subscription of the new shares shall be calculated pursuant to the provisions set forth above;</w:t>
            </w:r>
          </w:p>
        </w:tc>
      </w:tr>
      <w:tr>
        <w:trPr/>
        <w:tc>
          <w:tcPr>
            <w:tcW w:w="75"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99" w:type="dxa"/>
            <w:tcBorders/>
            <w:vAlign w:val="center"/>
          </w:tcPr>
          <w:p>
            <w:pPr>
              <w:pStyle w:val="TableContents"/>
              <w:bidi w:val="0"/>
              <w:spacing w:before="0" w:after="283"/>
              <w:jc w:val="both"/>
              <w:rPr/>
            </w:pPr>
            <w:r>
              <w:rPr/>
              <w:t>Det fulde beløb til tegning af det antal aktier, som de omfattede medarbejdere mv. ønsker at tegne, skal indbetales kontant og senest samtidig med tegningen af de pågældende aktier, og</w:t>
            </w:r>
          </w:p>
        </w:tc>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911" w:type="dxa"/>
            <w:tcBorders/>
            <w:vAlign w:val="center"/>
          </w:tcPr>
          <w:p>
            <w:pPr>
              <w:pStyle w:val="TableContents"/>
              <w:bidi w:val="0"/>
              <w:spacing w:before="0" w:after="283"/>
              <w:jc w:val="both"/>
              <w:rPr/>
            </w:pPr>
            <w:r>
              <w:rPr/>
              <w:t>The full subscription amount for the number of shares which the employees etc. wish to subscribe for, shall be paid in cash no later than on the day of subscription of the shares in question; and</w:t>
            </w:r>
          </w:p>
        </w:tc>
      </w:tr>
    </w:tbl>
    <w:p>
      <w:pPr>
        <w:pStyle w:val="TextBody"/>
        <w:bidi w:val="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400"/>
        <w:gridCol w:w="97"/>
        <w:gridCol w:w="4456"/>
        <w:gridCol w:w="60"/>
        <w:gridCol w:w="185"/>
        <w:gridCol w:w="5007"/>
      </w:tblGrid>
      <w:tr>
        <w:trPr/>
        <w:tc>
          <w:tcPr>
            <w:tcW w:w="400" w:type="dxa"/>
            <w:tcBorders/>
            <w:vAlign w:val="center"/>
          </w:tcPr>
          <w:p>
            <w:pPr>
              <w:pStyle w:val="TableContents"/>
              <w:bidi w:val="0"/>
              <w:spacing w:before="0" w:after="283"/>
              <w:jc w:val="both"/>
              <w:rPr/>
            </w:pPr>
            <w:r>
              <w:rPr/>
              <w:t> </w:t>
            </w:r>
          </w:p>
        </w:tc>
        <w:tc>
          <w:tcPr>
            <w:tcW w:w="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4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aktier skal lyde på navn, noteres i selskabets ejerbog og være ikke-omsætningspapirer.</w:t>
            </w:r>
          </w:p>
        </w:tc>
        <w:tc>
          <w:tcPr>
            <w:tcW w:w="60"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5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shall be made out in the name of the holder, be recorded in the company’s register of shareholders and be non-negotiable instruments.</w:t>
            </w:r>
          </w:p>
        </w:tc>
      </w:tr>
      <w:tr>
        <w:trPr/>
        <w:tc>
          <w:tcPr>
            <w:tcW w:w="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9.2.</w:t>
            </w:r>
          </w:p>
        </w:tc>
        <w:tc>
          <w:tcPr>
            <w:tcW w:w="455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afholder omkostninger i forbindelse med udstedelsen af warrants og senere udnyttelse heraf. Selskabets omkostninger forbundet med udstedelsen af warrants og den hertil hørende kapitalforhøjelse anslås til DKK 25.000.</w:t>
            </w:r>
          </w:p>
        </w:tc>
        <w:tc>
          <w:tcPr>
            <w:tcW w:w="60" w:type="dxa"/>
            <w:tcBorders/>
            <w:vAlign w:val="center"/>
          </w:tcPr>
          <w:p>
            <w:pPr>
              <w:pStyle w:val="TableContents"/>
              <w:bidi w:val="0"/>
              <w:spacing w:before="0" w:after="283"/>
              <w:jc w:val="both"/>
              <w:rPr/>
            </w:pPr>
            <w:r>
              <w:rPr/>
              <w:t> </w:t>
            </w:r>
          </w:p>
        </w:tc>
        <w:tc>
          <w:tcPr>
            <w:tcW w:w="5192" w:type="dxa"/>
            <w:gridSpan w:val="2"/>
            <w:tcBorders/>
            <w:vAlign w:val="center"/>
          </w:tcPr>
          <w:p>
            <w:pPr>
              <w:pStyle w:val="TableContents"/>
              <w:bidi w:val="0"/>
              <w:spacing w:before="0" w:after="283"/>
              <w:jc w:val="both"/>
              <w:rPr>
                <w:sz w:val="20"/>
              </w:rPr>
            </w:pPr>
            <w:r>
              <w:rPr>
                <w:sz w:val="20"/>
              </w:rPr>
              <w:t>The Company shall pay all costs connected with granting of warrants and later exercise thereof. The Company’s costs in connection with issue of warrants and the related capital increase are estimated to DKK 25,000.</w:t>
            </w:r>
          </w:p>
        </w:tc>
      </w:tr>
      <w:tr>
        <w:trPr/>
        <w:tc>
          <w:tcPr>
            <w:tcW w:w="4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10. </w:t>
            </w:r>
          </w:p>
        </w:tc>
        <w:tc>
          <w:tcPr>
            <w:tcW w:w="4553" w:type="dxa"/>
            <w:gridSpan w:val="2"/>
            <w:tcBorders/>
            <w:vAlign w:val="center"/>
          </w:tcPr>
          <w:p>
            <w:pPr>
              <w:pStyle w:val="TableContents"/>
              <w:bidi w:val="0"/>
              <w:spacing w:before="0" w:after="283"/>
              <w:jc w:val="both"/>
              <w:rPr>
                <w:b/>
                <w:caps/>
                <w:sz w:val="20"/>
              </w:rPr>
            </w:pPr>
            <w:r>
              <w:rPr>
                <w:b/>
                <w:caps/>
                <w:sz w:val="20"/>
              </w:rPr>
              <w:t>Andre Bestemmelser</w:t>
            </w:r>
          </w:p>
        </w:tc>
        <w:tc>
          <w:tcPr>
            <w:tcW w:w="60" w:type="dxa"/>
            <w:tcBorders/>
            <w:vAlign w:val="center"/>
          </w:tcPr>
          <w:p>
            <w:pPr>
              <w:pStyle w:val="TableContents"/>
              <w:bidi w:val="0"/>
              <w:spacing w:before="0" w:after="283"/>
              <w:jc w:val="both"/>
              <w:rPr/>
            </w:pPr>
            <w:r>
              <w:rPr/>
              <w:t> </w:t>
            </w:r>
          </w:p>
        </w:tc>
        <w:tc>
          <w:tcPr>
            <w:tcW w:w="5192" w:type="dxa"/>
            <w:gridSpan w:val="2"/>
            <w:tcBorders/>
            <w:vAlign w:val="center"/>
          </w:tcPr>
          <w:p>
            <w:pPr>
              <w:pStyle w:val="TableContents"/>
              <w:bidi w:val="0"/>
              <w:spacing w:before="0" w:after="283"/>
              <w:jc w:val="both"/>
              <w:rPr>
                <w:b/>
                <w:sz w:val="20"/>
              </w:rPr>
            </w:pPr>
            <w:r>
              <w:rPr>
                <w:b/>
                <w:sz w:val="20"/>
              </w:rPr>
              <w:t>OTHER PROVISIONS</w:t>
            </w:r>
          </w:p>
        </w:tc>
      </w:tr>
      <w:tr>
        <w:trPr/>
        <w:tc>
          <w:tcPr>
            <w:tcW w:w="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455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Tildeling af warrants har ingen umiddelbare økonomiske konsekvenser for Warrantindehaveren. Værdien af warrants indgår ikke i beregningen af feriepenge, pensionsbidrag eller øvrige vederlagsafhængige ydelser fra Selskabet eller et evt. datterselskab.</w:t>
            </w:r>
          </w:p>
        </w:tc>
        <w:tc>
          <w:tcPr>
            <w:tcW w:w="60" w:type="dxa"/>
            <w:tcBorders/>
            <w:vAlign w:val="center"/>
          </w:tcPr>
          <w:p>
            <w:pPr>
              <w:pStyle w:val="TableContents"/>
              <w:bidi w:val="0"/>
              <w:spacing w:before="0" w:after="283"/>
              <w:jc w:val="both"/>
              <w:rPr/>
            </w:pPr>
            <w:r>
              <w:rPr/>
              <w:t> </w:t>
            </w:r>
          </w:p>
        </w:tc>
        <w:tc>
          <w:tcPr>
            <w:tcW w:w="5192" w:type="dxa"/>
            <w:gridSpan w:val="2"/>
            <w:tcBorders/>
            <w:vAlign w:val="center"/>
          </w:tcPr>
          <w:p>
            <w:pPr>
              <w:pStyle w:val="TableContents"/>
              <w:bidi w:val="0"/>
              <w:spacing w:before="0" w:after="283"/>
              <w:jc w:val="both"/>
              <w:rPr/>
            </w:pPr>
            <w:r>
              <w:rPr/>
              <w:t>Grant of warrants has no immediate economic consequences for Warrantholder. The value of warrants will not form part of the calculation of holiday allowances, pension contributions or other contributions or payments, which are based on your remuneration from the Company or a subsidiary, if any.</w:t>
            </w:r>
          </w:p>
        </w:tc>
      </w:tr>
      <w:tr>
        <w:trPr/>
        <w:tc>
          <w:tcPr>
            <w:tcW w:w="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w:t>
            </w:r>
          </w:p>
        </w:tc>
        <w:tc>
          <w:tcPr>
            <w:tcW w:w="455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forhold, at Selskabet tilbyder Warrantindehavere warrants, forpligter ikke på nogen måde Selskabet til at opretholde ansættelsesforholdet.</w:t>
            </w:r>
          </w:p>
        </w:tc>
        <w:tc>
          <w:tcPr>
            <w:tcW w:w="60" w:type="dxa"/>
            <w:tcBorders/>
            <w:vAlign w:val="center"/>
          </w:tcPr>
          <w:p>
            <w:pPr>
              <w:pStyle w:val="TableContents"/>
              <w:bidi w:val="0"/>
              <w:spacing w:before="0" w:after="283"/>
              <w:jc w:val="both"/>
              <w:rPr/>
            </w:pPr>
            <w:r>
              <w:rPr/>
              <w:t> </w:t>
            </w:r>
          </w:p>
        </w:tc>
        <w:tc>
          <w:tcPr>
            <w:tcW w:w="5192" w:type="dxa"/>
            <w:gridSpan w:val="2"/>
            <w:tcBorders/>
            <w:vAlign w:val="center"/>
          </w:tcPr>
          <w:p>
            <w:pPr>
              <w:pStyle w:val="TableContents"/>
              <w:bidi w:val="0"/>
              <w:spacing w:before="0" w:after="283"/>
              <w:jc w:val="both"/>
              <w:rPr/>
            </w:pPr>
            <w:r>
              <w:rPr/>
              <w:t>The fact that the Company offers warrants to Warrantholders shall not in any way obligate the Company to maintain the employment.</w:t>
            </w:r>
          </w:p>
        </w:tc>
      </w:tr>
      <w:tr>
        <w:trPr/>
        <w:tc>
          <w:tcPr>
            <w:tcW w:w="4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11. </w:t>
            </w:r>
          </w:p>
        </w:tc>
        <w:tc>
          <w:tcPr>
            <w:tcW w:w="4553" w:type="dxa"/>
            <w:gridSpan w:val="2"/>
            <w:tcBorders/>
            <w:vAlign w:val="center"/>
          </w:tcPr>
          <w:p>
            <w:pPr>
              <w:pStyle w:val="TableContents"/>
              <w:bidi w:val="0"/>
              <w:spacing w:before="0" w:after="283"/>
              <w:jc w:val="both"/>
              <w:rPr>
                <w:b/>
                <w:caps/>
                <w:sz w:val="20"/>
              </w:rPr>
            </w:pPr>
            <w:r>
              <w:rPr>
                <w:b/>
                <w:caps/>
                <w:sz w:val="20"/>
              </w:rPr>
              <w:t>SKATTEMÆSSIGE Konsekvenser</w:t>
            </w:r>
          </w:p>
        </w:tc>
        <w:tc>
          <w:tcPr>
            <w:tcW w:w="60" w:type="dxa"/>
            <w:tcBorders/>
            <w:vAlign w:val="center"/>
          </w:tcPr>
          <w:p>
            <w:pPr>
              <w:pStyle w:val="TableContents"/>
              <w:bidi w:val="0"/>
              <w:spacing w:before="0" w:after="283"/>
              <w:jc w:val="both"/>
              <w:rPr/>
            </w:pPr>
            <w:r>
              <w:rPr/>
              <w:t> </w:t>
            </w:r>
          </w:p>
        </w:tc>
        <w:tc>
          <w:tcPr>
            <w:tcW w:w="5192" w:type="dxa"/>
            <w:gridSpan w:val="2"/>
            <w:tcBorders/>
            <w:vAlign w:val="center"/>
          </w:tcPr>
          <w:p>
            <w:pPr>
              <w:pStyle w:val="TableContents"/>
              <w:bidi w:val="0"/>
              <w:spacing w:before="0" w:after="283"/>
              <w:jc w:val="both"/>
              <w:rPr>
                <w:b/>
                <w:sz w:val="20"/>
              </w:rPr>
            </w:pPr>
            <w:r>
              <w:rPr>
                <w:b/>
                <w:sz w:val="20"/>
              </w:rPr>
              <w:t>TAX CONSEQUENCES</w:t>
            </w:r>
          </w:p>
        </w:tc>
      </w:tr>
      <w:tr>
        <w:trPr/>
        <w:tc>
          <w:tcPr>
            <w:tcW w:w="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11.1.</w:t>
            </w:r>
          </w:p>
        </w:tc>
        <w:tc>
          <w:tcPr>
            <w:tcW w:w="455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personlige skattemæssige konsekvenser forbundet med Warrantindehaverens tegning eller udnyttelse af warrants er Selskabet uvedkommende.</w:t>
            </w:r>
          </w:p>
        </w:tc>
        <w:tc>
          <w:tcPr>
            <w:tcW w:w="60" w:type="dxa"/>
            <w:tcBorders/>
            <w:vAlign w:val="center"/>
          </w:tcPr>
          <w:p>
            <w:pPr>
              <w:pStyle w:val="TableContents"/>
              <w:bidi w:val="0"/>
              <w:spacing w:before="0" w:after="283"/>
              <w:jc w:val="both"/>
              <w:rPr/>
            </w:pPr>
            <w:r>
              <w:rPr/>
              <w:t> </w:t>
            </w:r>
          </w:p>
        </w:tc>
        <w:tc>
          <w:tcPr>
            <w:tcW w:w="5192" w:type="dxa"/>
            <w:gridSpan w:val="2"/>
            <w:tcBorders/>
            <w:vAlign w:val="center"/>
          </w:tcPr>
          <w:p>
            <w:pPr>
              <w:pStyle w:val="TableContents"/>
              <w:bidi w:val="0"/>
              <w:spacing w:before="0" w:after="283"/>
              <w:jc w:val="both"/>
              <w:rPr>
                <w:sz w:val="20"/>
              </w:rPr>
            </w:pPr>
            <w:r>
              <w:rPr>
                <w:sz w:val="20"/>
              </w:rPr>
              <w:t>The personal tax implications connected to the Warrantholder’s subscription for or exercise of warrants shall be of no concern to the Company.   </w:t>
            </w:r>
          </w:p>
        </w:tc>
      </w:tr>
      <w:tr>
        <w:trPr/>
        <w:tc>
          <w:tcPr>
            <w:tcW w:w="4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12. </w:t>
            </w:r>
          </w:p>
        </w:tc>
        <w:tc>
          <w:tcPr>
            <w:tcW w:w="4553" w:type="dxa"/>
            <w:gridSpan w:val="2"/>
            <w:tcBorders/>
            <w:vAlign w:val="center"/>
          </w:tcPr>
          <w:p>
            <w:pPr>
              <w:pStyle w:val="TableContents"/>
              <w:bidi w:val="0"/>
              <w:spacing w:before="0" w:after="283"/>
              <w:jc w:val="both"/>
              <w:rPr>
                <w:b/>
              </w:rPr>
            </w:pPr>
            <w:r>
              <w:rPr>
                <w:b/>
              </w:rPr>
              <w:t>LOVVALG OG VÆRNETING</w:t>
            </w:r>
          </w:p>
        </w:tc>
        <w:tc>
          <w:tcPr>
            <w:tcW w:w="60" w:type="dxa"/>
            <w:tcBorders/>
            <w:vAlign w:val="center"/>
          </w:tcPr>
          <w:p>
            <w:pPr>
              <w:pStyle w:val="TableContents"/>
              <w:bidi w:val="0"/>
              <w:spacing w:before="0" w:after="283"/>
              <w:jc w:val="both"/>
              <w:rPr/>
            </w:pPr>
            <w:r>
              <w:rPr/>
              <w:t> </w:t>
            </w:r>
          </w:p>
        </w:tc>
        <w:tc>
          <w:tcPr>
            <w:tcW w:w="5192"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LAW AND VENUE</w:t>
            </w:r>
          </w:p>
        </w:tc>
      </w:tr>
      <w:tr>
        <w:trPr/>
        <w:tc>
          <w:tcPr>
            <w:tcW w:w="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12.1.</w:t>
            </w:r>
          </w:p>
        </w:tc>
        <w:tc>
          <w:tcPr>
            <w:tcW w:w="4553" w:type="dxa"/>
            <w:gridSpan w:val="2"/>
            <w:tcBorders/>
            <w:vAlign w:val="center"/>
          </w:tcPr>
          <w:p>
            <w:pPr>
              <w:pStyle w:val="TableContents"/>
              <w:bidi w:val="0"/>
              <w:spacing w:before="0" w:after="283"/>
              <w:jc w:val="both"/>
              <w:rPr>
                <w:sz w:val="20"/>
              </w:rPr>
            </w:pPr>
            <w:r>
              <w:rPr>
                <w:sz w:val="20"/>
              </w:rPr>
              <w:t>Tegningen af warrants, vilkårene herfor og udnyttelsen, og vilkårene for senere tegning af aktier i Selskabet skal reguleres af dansk ret.</w:t>
            </w:r>
          </w:p>
        </w:tc>
        <w:tc>
          <w:tcPr>
            <w:tcW w:w="60" w:type="dxa"/>
            <w:tcBorders/>
            <w:vAlign w:val="center"/>
          </w:tcPr>
          <w:p>
            <w:pPr>
              <w:pStyle w:val="TableContents"/>
              <w:bidi w:val="0"/>
              <w:spacing w:before="0" w:after="283"/>
              <w:jc w:val="both"/>
              <w:rPr/>
            </w:pPr>
            <w:r>
              <w:rPr/>
              <w:t> </w:t>
            </w:r>
          </w:p>
        </w:tc>
        <w:tc>
          <w:tcPr>
            <w:tcW w:w="5192" w:type="dxa"/>
            <w:gridSpan w:val="2"/>
            <w:tcBorders/>
            <w:vAlign w:val="center"/>
          </w:tcPr>
          <w:p>
            <w:pPr>
              <w:pStyle w:val="TableContents"/>
              <w:bidi w:val="0"/>
              <w:spacing w:before="0" w:after="283"/>
              <w:jc w:val="both"/>
              <w:rPr/>
            </w:pPr>
            <w:r>
              <w:rPr/>
              <w:t>Acceptance of warrants, the terms and conditions thereto and the exercise, and terms and conditions for future subscription for shares in the Company shall be governed by Danish law.</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434"/>
        <w:gridCol w:w="5093"/>
        <w:gridCol w:w="90"/>
        <w:gridCol w:w="4588"/>
      </w:tblGrid>
      <w:tr>
        <w:trPr/>
        <w:tc>
          <w:tcPr>
            <w:tcW w:w="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12.2.</w:t>
            </w:r>
          </w:p>
        </w:tc>
        <w:tc>
          <w:tcPr>
            <w:tcW w:w="50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der måtte opstå en tvist mellem Warrantindehaveren og Selskabet i relation til forståelsen eller gennemførelsen af warrantprogrammet, skal denne søges bilagt i mindelighed ved en forhandling mellem parterne.</w:t>
            </w:r>
          </w:p>
        </w:tc>
        <w:tc>
          <w:tcPr>
            <w:tcW w:w="90" w:type="dxa"/>
            <w:tcBorders/>
            <w:vAlign w:val="center"/>
          </w:tcPr>
          <w:p>
            <w:pPr>
              <w:pStyle w:val="TableContents"/>
              <w:bidi w:val="0"/>
              <w:spacing w:before="0" w:after="283"/>
              <w:jc w:val="both"/>
              <w:rPr/>
            </w:pPr>
            <w:r>
              <w:rPr/>
              <w:t> </w:t>
            </w:r>
          </w:p>
        </w:tc>
        <w:tc>
          <w:tcPr>
            <w:tcW w:w="45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disagreement between the Warrantholder and the Company in relation to the understanding or implementation of the warrant scheme shall be settled amicably by negotiation between the parties.</w:t>
            </w:r>
          </w:p>
        </w:tc>
      </w:tr>
      <w:tr>
        <w:trPr/>
        <w:tc>
          <w:tcPr>
            <w:tcW w:w="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12.3.</w:t>
            </w:r>
          </w:p>
        </w:tc>
        <w:tc>
          <w:tcPr>
            <w:tcW w:w="50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parterne ikke kan opnå enighed, skal eventuelle tvister afgøres ved de almindelige danske domstole.</w:t>
            </w:r>
          </w:p>
        </w:tc>
        <w:tc>
          <w:tcPr>
            <w:tcW w:w="90" w:type="dxa"/>
            <w:tcBorders/>
            <w:vAlign w:val="center"/>
          </w:tcPr>
          <w:p>
            <w:pPr>
              <w:pStyle w:val="TableContents"/>
              <w:bidi w:val="0"/>
              <w:spacing w:before="0" w:after="283"/>
              <w:jc w:val="both"/>
              <w:rPr/>
            </w:pPr>
            <w:r>
              <w:rPr/>
              <w:t> </w:t>
            </w:r>
          </w:p>
        </w:tc>
        <w:tc>
          <w:tcPr>
            <w:tcW w:w="45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parties fail to reach consensus, any disputes shall be settled by the ordinary Danish courts.</w:t>
            </w:r>
          </w:p>
        </w:tc>
      </w:tr>
    </w:tbl>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---oOo---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drawing>
          <wp:inline distT="0" distB="0" distL="0" distR="0">
            <wp:extent cx="1181100" cy="39624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81100" cy="396240"/>
                    </a:xfrm>
                    <a:prstGeom prst="rect">
                      <a:avLst/>
                    </a:prstGeom>
                  </pic:spPr>
                </pic:pic>
              </a:graphicData>
            </a:graphic>
          </wp:inline>
        </w:drawing>
      </w:r>
      <w:r>
        <w:rPr/>
        <w:t> </w:t>
      </w:r>
    </w:p>
    <w:p>
      <w:pPr>
        <w:pStyle w:val="TextBody"/>
        <w:bidi w:val="0"/>
        <w:jc w:val="both"/>
        <w:rPr/>
      </w:pPr>
      <w:r>
        <w:rPr/>
        <w:t> </w:t>
      </w:r>
    </w:p>
    <w:p>
      <w:pPr>
        <w:pStyle w:val="TextBody"/>
        <w:bidi w:val="0"/>
        <w:jc w:val="both"/>
        <w:rPr/>
      </w:pPr>
      <w:r>
        <w:rPr/>
        <w:t> </w:t>
      </w:r>
    </w:p>
    <w:tbl>
      <w:tblPr>
        <w:tblW w:w="6230" w:type="dxa"/>
        <w:jc w:val="center"/>
        <w:tblInd w:w="0" w:type="dxa"/>
        <w:tblLayout w:type="fixed"/>
        <w:tblCellMar>
          <w:top w:w="0" w:type="dxa"/>
          <w:left w:w="0" w:type="dxa"/>
          <w:bottom w:w="0" w:type="dxa"/>
          <w:right w:w="0" w:type="dxa"/>
        </w:tblCellMar>
      </w:tblPr>
      <w:tblGrid>
        <w:gridCol w:w="6230"/>
      </w:tblGrid>
      <w:tr>
        <w:trPr/>
        <w:tc>
          <w:tcPr>
            <w:tcW w:w="6230" w:type="dxa"/>
            <w:tcBorders/>
            <w:vAlign w:val="center"/>
          </w:tcPr>
          <w:p>
            <w:pPr>
              <w:pStyle w:val="TableContents"/>
              <w:bidi w:val="0"/>
              <w:spacing w:before="0" w:after="0"/>
              <w:jc w:val="center"/>
              <w:rPr>
                <w:rFonts w:ascii="Times New Roman;Times;Serif" w:hAnsi="Times New Roman;Times;Serif"/>
                <w:b w:val="false"/>
                <w:i w:val="false"/>
                <w:caps/>
                <w:sz w:val="20"/>
                <w:bdr w:val="single" w:sz="8" w:space="16" w:color="000000"/>
              </w:rPr>
            </w:pPr>
            <w:r>
              <w:rPr>
                <w:rFonts w:ascii="Times New Roman;Times;Serif" w:hAnsi="Times New Roman;Times;Serif"/>
                <w:b w:val="false"/>
                <w:i w:val="false"/>
                <w:caps/>
                <w:sz w:val="20"/>
                <w:bdr w:val="single" w:sz="8" w:space="16" w:color="000000"/>
              </w:rPr>
              <w:t>Bilag 6 / appendix 6</w:t>
            </w:r>
          </w:p>
          <w:p>
            <w:pPr>
              <w:pStyle w:val="TableContents"/>
              <w:bidi w:val="0"/>
              <w:spacing w:before="0" w:after="0"/>
              <w:jc w:val="center"/>
              <w:rPr>
                <w:rFonts w:ascii="Times New Roman;Times;Serif" w:hAnsi="Times New Roman;Times;Serif"/>
                <w:b w:val="false"/>
                <w:i w:val="false"/>
                <w:caps/>
                <w:sz w:val="20"/>
                <w:bdr w:val="single" w:sz="8" w:space="16" w:color="000000"/>
              </w:rPr>
            </w:pPr>
            <w:r>
              <w:rPr>
                <w:rFonts w:ascii="Times New Roman;Times;Serif" w:hAnsi="Times New Roman;Times;Serif"/>
                <w:b w:val="false"/>
                <w:i w:val="false"/>
                <w:caps/>
                <w:sz w:val="20"/>
                <w:bdr w:val="single" w:sz="8" w:space="16" w:color="000000"/>
              </w:rPr>
              <w:t>til selskabets VEDTÆGTER / to the articles of association</w:t>
            </w:r>
          </w:p>
        </w:tc>
      </w:tr>
    </w:tbl>
    <w:p>
      <w:pPr>
        <w:pStyle w:val="TextBody"/>
        <w:bidi w:val="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pPr>
      <w:r>
        <w:rPr/>
        <w:t> </w:t>
      </w:r>
      <w:r>
        <w:rPr/>
        <w:drawing>
          <wp:inline distT="0" distB="0" distL="0" distR="0">
            <wp:extent cx="1181100" cy="39624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81100" cy="396240"/>
                    </a:xfrm>
                    <a:prstGeom prst="rect">
                      <a:avLst/>
                    </a:prstGeom>
                  </pic:spPr>
                </pic:pic>
              </a:graphicData>
            </a:graphic>
          </wp:inline>
        </w:drawing>
      </w:r>
    </w:p>
    <w:p>
      <w:pPr>
        <w:pStyle w:val="TextBody"/>
        <w:bidi w:val="0"/>
        <w:jc w:val="both"/>
        <w:rPr/>
      </w:pPr>
      <w:r>
        <w:rPr/>
        <w:t> </w:t>
      </w:r>
    </w:p>
    <w:p>
      <w:pPr>
        <w:pStyle w:val="TextBody"/>
        <w:bidi w:val="0"/>
        <w:jc w:val="both"/>
        <w:rPr/>
      </w:pPr>
      <w:r>
        <w:rPr/>
        <w:t> </w:t>
      </w:r>
    </w:p>
    <w:p>
      <w:pPr>
        <w:pStyle w:val="TextBody"/>
        <w:bidi w:val="0"/>
        <w:jc w:val="both"/>
        <w:rPr>
          <w:sz w:val="20"/>
        </w:rPr>
      </w:pPr>
      <w:r>
        <w:rPr>
          <w:sz w:val="20"/>
        </w:rPr>
        <w:t>The English part of this parallel document in Danish and English is an unofficial translation of the original Danish text. In the event of disputes or misunderstandings arising from the interpretation of the translation, the Danish language shall prevail.</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146"/>
        <w:gridCol w:w="5095"/>
        <w:gridCol w:w="60"/>
        <w:gridCol w:w="4904"/>
      </w:tblGrid>
      <w:tr>
        <w:trPr/>
        <w:tc>
          <w:tcPr>
            <w:tcW w:w="146" w:type="dxa"/>
            <w:tcBorders/>
            <w:vAlign w:val="center"/>
          </w:tcPr>
          <w:p>
            <w:pPr>
              <w:pStyle w:val="TableContents"/>
              <w:bidi w:val="0"/>
              <w:spacing w:before="0" w:after="283"/>
              <w:jc w:val="both"/>
              <w:rPr/>
            </w:pPr>
            <w:r>
              <w:rPr/>
              <w:t> </w:t>
            </w:r>
          </w:p>
        </w:tc>
        <w:tc>
          <w:tcPr>
            <w:tcW w:w="5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BILAG 6 TIL SELSKABETS VEDTÆGTER</w:t>
            </w:r>
          </w:p>
        </w:tc>
        <w:tc>
          <w:tcPr>
            <w:tcW w:w="60" w:type="dxa"/>
            <w:tcBorders/>
            <w:vAlign w:val="center"/>
          </w:tcPr>
          <w:p>
            <w:pPr>
              <w:pStyle w:val="TableContents"/>
              <w:bidi w:val="0"/>
              <w:spacing w:before="0" w:after="283"/>
              <w:jc w:val="both"/>
              <w:rPr/>
            </w:pPr>
            <w:r>
              <w:rPr/>
              <w:t> </w:t>
            </w:r>
          </w:p>
        </w:tc>
        <w:tc>
          <w:tcPr>
            <w:tcW w:w="4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APPENDIX 6 TO ARTICLES OF ASSOCIATION</w:t>
            </w:r>
          </w:p>
        </w:tc>
      </w:tr>
      <w:tr>
        <w:trPr/>
        <w:tc>
          <w:tcPr>
            <w:tcW w:w="146" w:type="dxa"/>
            <w:tcBorders/>
            <w:vAlign w:val="center"/>
          </w:tcPr>
          <w:p>
            <w:pPr>
              <w:pStyle w:val="TableContents"/>
              <w:bidi w:val="0"/>
              <w:spacing w:before="0" w:after="283"/>
              <w:jc w:val="both"/>
              <w:rPr/>
            </w:pPr>
            <w:r>
              <w:rPr/>
              <w:t> </w:t>
            </w:r>
          </w:p>
        </w:tc>
        <w:tc>
          <w:tcPr>
            <w:tcW w:w="5095" w:type="dxa"/>
            <w:tcBorders/>
            <w:vAlign w:val="center"/>
          </w:tcPr>
          <w:p>
            <w:pPr>
              <w:pStyle w:val="TableContents"/>
              <w:bidi w:val="0"/>
              <w:spacing w:before="0" w:after="283"/>
              <w:jc w:val="both"/>
              <w:rPr>
                <w:sz w:val="20"/>
              </w:rPr>
            </w:pPr>
            <w:r>
              <w:rPr>
                <w:sz w:val="20"/>
              </w:rPr>
              <w:t>EVAXION BIOTECH A/S (CVR-NR. 31762863) ("</w:t>
            </w:r>
            <w:r>
              <w:rPr>
                <w:b/>
                <w:sz w:val="20"/>
              </w:rPr>
              <w:t>Selskabet</w:t>
            </w:r>
            <w:r>
              <w:rPr>
                <w:sz w:val="20"/>
              </w:rPr>
              <w:t>")</w:t>
            </w:r>
          </w:p>
        </w:tc>
        <w:tc>
          <w:tcPr>
            <w:tcW w:w="60" w:type="dxa"/>
            <w:tcBorders/>
            <w:vAlign w:val="center"/>
          </w:tcPr>
          <w:p>
            <w:pPr>
              <w:pStyle w:val="TableContents"/>
              <w:bidi w:val="0"/>
              <w:spacing w:before="0" w:after="283"/>
              <w:jc w:val="both"/>
              <w:rPr/>
            </w:pPr>
            <w:r>
              <w:rPr/>
              <w:t> </w:t>
            </w:r>
          </w:p>
        </w:tc>
        <w:tc>
          <w:tcPr>
            <w:tcW w:w="4904" w:type="dxa"/>
            <w:tcBorders/>
            <w:vAlign w:val="center"/>
          </w:tcPr>
          <w:p>
            <w:pPr>
              <w:pStyle w:val="TableContents"/>
              <w:bidi w:val="0"/>
              <w:spacing w:before="0" w:after="283"/>
              <w:jc w:val="both"/>
              <w:rPr>
                <w:sz w:val="20"/>
              </w:rPr>
            </w:pPr>
            <w:r>
              <w:rPr>
                <w:sz w:val="20"/>
              </w:rPr>
              <w:t>EVAXION BIOTECH A/S (COMPANY REG. NO. (CBR) 31762863) (the "</w:t>
            </w:r>
            <w:r>
              <w:rPr>
                <w:b/>
                <w:sz w:val="20"/>
              </w:rPr>
              <w:t>Company</w:t>
            </w:r>
            <w:r>
              <w:rPr>
                <w:sz w:val="20"/>
              </w:rPr>
              <w:t>")</w:t>
            </w:r>
          </w:p>
        </w:tc>
      </w:tr>
      <w:tr>
        <w:trPr/>
        <w:tc>
          <w:tcPr>
            <w:tcW w:w="146" w:type="dxa"/>
            <w:tcBorders/>
            <w:vAlign w:val="center"/>
          </w:tcPr>
          <w:p>
            <w:pPr>
              <w:pStyle w:val="TableContents"/>
              <w:bidi w:val="0"/>
              <w:spacing w:before="0" w:after="283"/>
              <w:jc w:val="both"/>
              <w:rPr/>
            </w:pPr>
            <w:r>
              <w:rPr/>
              <w:t> </w:t>
            </w:r>
          </w:p>
        </w:tc>
        <w:tc>
          <w:tcPr>
            <w:tcW w:w="50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INTRODUKTION</w:t>
            </w:r>
          </w:p>
        </w:tc>
        <w:tc>
          <w:tcPr>
            <w:tcW w:w="60" w:type="dxa"/>
            <w:tcBorders/>
            <w:vAlign w:val="center"/>
          </w:tcPr>
          <w:p>
            <w:pPr>
              <w:pStyle w:val="TableContents"/>
              <w:bidi w:val="0"/>
              <w:spacing w:before="0" w:after="283"/>
              <w:jc w:val="both"/>
              <w:rPr/>
            </w:pPr>
            <w:r>
              <w:rPr/>
              <w:t> </w:t>
            </w:r>
          </w:p>
        </w:tc>
        <w:tc>
          <w:tcPr>
            <w:tcW w:w="490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INTRODUCTION</w:t>
            </w:r>
          </w:p>
        </w:tc>
      </w:tr>
      <w:tr>
        <w:trPr/>
        <w:tc>
          <w:tcPr>
            <w:tcW w:w="146" w:type="dxa"/>
            <w:tcBorders/>
            <w:vAlign w:val="center"/>
          </w:tcPr>
          <w:p>
            <w:pPr>
              <w:pStyle w:val="TableContents"/>
              <w:bidi w:val="0"/>
              <w:spacing w:before="0" w:after="283"/>
              <w:jc w:val="both"/>
              <w:rPr/>
            </w:pPr>
            <w:r>
              <w:rPr/>
              <w:t> </w:t>
            </w:r>
          </w:p>
        </w:tc>
        <w:tc>
          <w:tcPr>
            <w:tcW w:w="5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bemyndigelse i vedtægternes punkt 2.10 har bestyrelsen bestemt, at følgende vilkår og betingelser skal være gældende for op til 9.726.898 warrants ("</w:t>
            </w:r>
            <w:r>
              <w:rPr>
                <w:rFonts w:ascii="Times New Roman;Times;Serif" w:hAnsi="Times New Roman;Times;Serif"/>
                <w:b/>
                <w:sz w:val="20"/>
              </w:rPr>
              <w:t>Warrants</w:t>
            </w:r>
            <w:r>
              <w:rPr>
                <w:rFonts w:ascii="Times New Roman;Times;Serif" w:hAnsi="Times New Roman;Times;Serif"/>
                <w:sz w:val="20"/>
              </w:rPr>
              <w:t>"), der er udstedt til investorer ("</w:t>
            </w:r>
            <w:r>
              <w:rPr>
                <w:rFonts w:ascii="Times New Roman;Times;Serif" w:hAnsi="Times New Roman;Times;Serif"/>
                <w:b/>
                <w:sz w:val="20"/>
              </w:rPr>
              <w:t>Warrantindehavere</w:t>
            </w:r>
            <w:r>
              <w:rPr>
                <w:rFonts w:ascii="Times New Roman;Times;Serif" w:hAnsi="Times New Roman;Times;Serif"/>
                <w:sz w:val="20"/>
              </w:rPr>
              <w:t>") i forbindelse med tegning af aktier og warrants ("</w:t>
            </w:r>
            <w:r>
              <w:rPr>
                <w:rFonts w:ascii="Times New Roman;Times;Serif" w:hAnsi="Times New Roman;Times;Serif"/>
                <w:b/>
                <w:sz w:val="20"/>
              </w:rPr>
              <w:t>Udbudte Værdipapirer</w:t>
            </w:r>
            <w:r>
              <w:rPr>
                <w:rFonts w:ascii="Times New Roman;Times;Serif" w:hAnsi="Times New Roman;Times;Serif"/>
                <w:sz w:val="20"/>
              </w:rPr>
              <w:t>") i forbindelse med den rettede emission gennemført 21. december 2023.</w:t>
            </w:r>
          </w:p>
        </w:tc>
        <w:tc>
          <w:tcPr>
            <w:tcW w:w="60" w:type="dxa"/>
            <w:tcBorders/>
            <w:vAlign w:val="center"/>
          </w:tcPr>
          <w:p>
            <w:pPr>
              <w:pStyle w:val="TableContents"/>
              <w:bidi w:val="0"/>
              <w:spacing w:before="0" w:after="283"/>
              <w:jc w:val="both"/>
              <w:rPr/>
            </w:pPr>
            <w:r>
              <w:rPr/>
              <w:t> </w:t>
            </w:r>
          </w:p>
        </w:tc>
        <w:tc>
          <w:tcPr>
            <w:tcW w:w="4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authorisation in article 2.10 of the articles of association, the Board of Directors has resolved that the following terms and conditions shall apply to up to 9,726,898 warrants (the "</w:t>
            </w:r>
            <w:r>
              <w:rPr>
                <w:rFonts w:ascii="Times New Roman;Times;Serif" w:hAnsi="Times New Roman;Times;Serif"/>
                <w:b/>
                <w:sz w:val="20"/>
              </w:rPr>
              <w:t>Warrants</w:t>
            </w:r>
            <w:r>
              <w:rPr>
                <w:rFonts w:ascii="Times New Roman;Times;Serif" w:hAnsi="Times New Roman;Times;Serif"/>
                <w:sz w:val="20"/>
              </w:rPr>
              <w:t>") which have been granted to investors ("</w:t>
            </w:r>
            <w:r>
              <w:rPr>
                <w:rFonts w:ascii="Times New Roman;Times;Serif" w:hAnsi="Times New Roman;Times;Serif"/>
                <w:b/>
                <w:sz w:val="20"/>
              </w:rPr>
              <w:t>Warrantholders</w:t>
            </w:r>
            <w:r>
              <w:rPr>
                <w:rFonts w:ascii="Times New Roman;Times;Serif" w:hAnsi="Times New Roman;Times;Serif"/>
                <w:sz w:val="20"/>
              </w:rPr>
              <w:t>") in connection with the subscription of ordinary shares and warrants (together, the "</w:t>
            </w:r>
            <w:r>
              <w:rPr>
                <w:rFonts w:ascii="Times New Roman;Times;Serif" w:hAnsi="Times New Roman;Times;Serif"/>
                <w:b/>
                <w:sz w:val="20"/>
              </w:rPr>
              <w:t>Offer Securities</w:t>
            </w:r>
            <w:r>
              <w:rPr>
                <w:rFonts w:ascii="Times New Roman;Times;Serif" w:hAnsi="Times New Roman;Times;Serif"/>
                <w:sz w:val="20"/>
              </w:rPr>
              <w:t>") in the private placement directed issue carried out 21 December 2023.</w:t>
            </w:r>
          </w:p>
        </w:tc>
      </w:tr>
      <w:tr>
        <w:trPr/>
        <w:tc>
          <w:tcPr>
            <w:tcW w:w="14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1. </w:t>
            </w:r>
          </w:p>
        </w:tc>
        <w:tc>
          <w:tcPr>
            <w:tcW w:w="50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GENERELT</w:t>
            </w:r>
          </w:p>
        </w:tc>
        <w:tc>
          <w:tcPr>
            <w:tcW w:w="60" w:type="dxa"/>
            <w:tcBorders/>
            <w:vAlign w:val="center"/>
          </w:tcPr>
          <w:p>
            <w:pPr>
              <w:pStyle w:val="TableContents"/>
              <w:bidi w:val="0"/>
              <w:spacing w:before="0" w:after="283"/>
              <w:jc w:val="both"/>
              <w:rPr/>
            </w:pPr>
            <w:r>
              <w:rPr/>
              <w:t> </w:t>
            </w:r>
          </w:p>
        </w:tc>
        <w:tc>
          <w:tcPr>
            <w:tcW w:w="490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GENERAL</w:t>
            </w:r>
          </w:p>
        </w:tc>
      </w:tr>
      <w:tr>
        <w:trPr/>
        <w:tc>
          <w:tcPr>
            <w:tcW w:w="146" w:type="dxa"/>
            <w:tcBorders/>
            <w:vAlign w:val="center"/>
          </w:tcPr>
          <w:p>
            <w:pPr>
              <w:pStyle w:val="TableContents"/>
              <w:bidi w:val="0"/>
              <w:spacing w:before="0" w:after="283"/>
              <w:jc w:val="both"/>
              <w:rPr/>
            </w:pPr>
            <w:r>
              <w:rPr/>
              <w:t> </w:t>
            </w:r>
          </w:p>
        </w:tc>
        <w:tc>
          <w:tcPr>
            <w:tcW w:w="5095" w:type="dxa"/>
            <w:tcBorders/>
            <w:vAlign w:val="center"/>
          </w:tcPr>
          <w:p>
            <w:pPr>
              <w:pStyle w:val="TableContents"/>
              <w:bidi w:val="0"/>
              <w:spacing w:before="0" w:after="283"/>
              <w:jc w:val="both"/>
              <w:rPr/>
            </w:pPr>
            <w:r>
              <w:rPr/>
              <w:t>En warrant er en ret, men ikke en pligt, til i en nærmere fastlagt periode (udnyttelsesperiode) at tegne nye aktier i Selskabet til DKK 4,799 (udnyttelsesprisen i bilag 6 konverteret fra USD til DKK i henhold til bestyrelsesbeslutning af 25. oktober 2024) (”</w:t>
            </w:r>
            <w:r>
              <w:rPr>
                <w:b/>
              </w:rPr>
              <w:t>Udnyttelsesprisen</w:t>
            </w:r>
            <w:r>
              <w:rPr/>
              <w:t>”), omregnet til DKK til den officielle vekselkurs mellem DKK/USD som er gældende på udnyttelsesdagen, dog minimum DKK 1 pr. aktie à nominelt kr. 1. Én warrant giver ret til at tegne én ordinær aktie i Selskabet á nominelt DKK 1.</w:t>
            </w:r>
          </w:p>
        </w:tc>
        <w:tc>
          <w:tcPr>
            <w:tcW w:w="60" w:type="dxa"/>
            <w:tcBorders/>
            <w:vAlign w:val="center"/>
          </w:tcPr>
          <w:p>
            <w:pPr>
              <w:pStyle w:val="TableContents"/>
              <w:bidi w:val="0"/>
              <w:spacing w:before="0" w:after="283"/>
              <w:jc w:val="both"/>
              <w:rPr/>
            </w:pPr>
            <w:r>
              <w:rPr/>
              <w:t> </w:t>
            </w:r>
          </w:p>
        </w:tc>
        <w:tc>
          <w:tcPr>
            <w:tcW w:w="4904" w:type="dxa"/>
            <w:tcBorders/>
            <w:vAlign w:val="center"/>
          </w:tcPr>
          <w:p>
            <w:pPr>
              <w:pStyle w:val="TableContents"/>
              <w:bidi w:val="0"/>
              <w:spacing w:before="0" w:after="283"/>
              <w:jc w:val="both"/>
              <w:rPr/>
            </w:pPr>
            <w:r>
              <w:rPr/>
              <w:t>A warrant is a right, but not an obligation, during a fixed period (exercise period) to subscribe for new ordinary shares in the Company at DKK 4.799 (the exercise price in appendix 6 converted from USD to DKK pursuant to board resolution dated 25 October 2024) (the “</w:t>
            </w:r>
            <w:r>
              <w:rPr>
                <w:b/>
              </w:rPr>
              <w:t>Exercise Price</w:t>
            </w:r>
            <w:r>
              <w:rPr/>
              <w:t>”), converted into DKK using the official exchange rate between DKK and USD on the exercise day, however no less than DKK 1 per share of nominal DKK 1. Each warrant carries the right to subscribe for nominal DKK 1 ordinary share in the Company.</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r>
        <w:rPr>
          <w:caps w:val="false"/>
          <w:smallCaps w:val="false"/>
        </w:rPr>
        <w:drawing>
          <wp:inline distT="0" distB="0" distL="0" distR="0">
            <wp:extent cx="1181100" cy="39624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81100" cy="39624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5835"/>
        <w:gridCol w:w="60"/>
        <w:gridCol w:w="4161"/>
      </w:tblGrid>
      <w:tr>
        <w:trPr/>
        <w:tc>
          <w:tcPr>
            <w:tcW w:w="14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2. </w:t>
            </w:r>
          </w:p>
        </w:tc>
        <w:tc>
          <w:tcPr>
            <w:tcW w:w="58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TILDELING AF WARRANTS</w:t>
            </w:r>
          </w:p>
        </w:tc>
        <w:tc>
          <w:tcPr>
            <w:tcW w:w="60" w:type="dxa"/>
            <w:tcBorders/>
            <w:vAlign w:val="center"/>
          </w:tcPr>
          <w:p>
            <w:pPr>
              <w:pStyle w:val="TableContents"/>
              <w:bidi w:val="0"/>
              <w:spacing w:before="0" w:after="283"/>
              <w:jc w:val="both"/>
              <w:rPr/>
            </w:pPr>
            <w:r>
              <w:rPr/>
              <w:t> </w:t>
            </w:r>
          </w:p>
        </w:tc>
        <w:tc>
          <w:tcPr>
            <w:tcW w:w="416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GRANT OF WARRANTS</w:t>
            </w:r>
          </w:p>
        </w:tc>
      </w:tr>
      <w:tr>
        <w:trPr/>
        <w:tc>
          <w:tcPr>
            <w:tcW w:w="149" w:type="dxa"/>
            <w:tcBorders/>
            <w:vAlign w:val="center"/>
          </w:tcPr>
          <w:p>
            <w:pPr>
              <w:pStyle w:val="TableContents"/>
              <w:bidi w:val="0"/>
              <w:spacing w:before="0" w:after="283"/>
              <w:jc w:val="both"/>
              <w:rPr/>
            </w:pPr>
            <w:r>
              <w:rPr/>
              <w:t> </w:t>
            </w:r>
          </w:p>
        </w:tc>
        <w:tc>
          <w:tcPr>
            <w:tcW w:w="5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er tildelt i forbindelse med tegning af Udbudte Værdipapirer.</w:t>
            </w:r>
          </w:p>
        </w:tc>
        <w:tc>
          <w:tcPr>
            <w:tcW w:w="60" w:type="dxa"/>
            <w:tcBorders/>
            <w:vAlign w:val="center"/>
          </w:tcPr>
          <w:p>
            <w:pPr>
              <w:pStyle w:val="TableContents"/>
              <w:bidi w:val="0"/>
              <w:spacing w:before="0" w:after="283"/>
              <w:jc w:val="both"/>
              <w:rPr/>
            </w:pPr>
            <w:r>
              <w:rPr/>
              <w:t> </w:t>
            </w:r>
          </w:p>
        </w:tc>
        <w:tc>
          <w:tcPr>
            <w:tcW w:w="41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Warrantholder is granted warrants in connection with subscription of Offer Securities.</w:t>
            </w:r>
          </w:p>
        </w:tc>
      </w:tr>
      <w:tr>
        <w:trPr/>
        <w:tc>
          <w:tcPr>
            <w:tcW w:w="14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3. </w:t>
            </w:r>
          </w:p>
        </w:tc>
        <w:tc>
          <w:tcPr>
            <w:tcW w:w="58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OPTJENING</w:t>
            </w:r>
          </w:p>
        </w:tc>
        <w:tc>
          <w:tcPr>
            <w:tcW w:w="60" w:type="dxa"/>
            <w:tcBorders/>
            <w:vAlign w:val="center"/>
          </w:tcPr>
          <w:p>
            <w:pPr>
              <w:pStyle w:val="TableContents"/>
              <w:bidi w:val="0"/>
              <w:spacing w:before="0" w:after="283"/>
              <w:jc w:val="both"/>
              <w:rPr/>
            </w:pPr>
            <w:r>
              <w:rPr/>
              <w:t> </w:t>
            </w:r>
          </w:p>
        </w:tc>
        <w:tc>
          <w:tcPr>
            <w:tcW w:w="416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VESTING</w:t>
            </w:r>
          </w:p>
        </w:tc>
      </w:tr>
      <w:tr>
        <w:trPr/>
        <w:tc>
          <w:tcPr>
            <w:tcW w:w="149" w:type="dxa"/>
            <w:tcBorders/>
            <w:vAlign w:val="center"/>
          </w:tcPr>
          <w:p>
            <w:pPr>
              <w:pStyle w:val="TableContents"/>
              <w:bidi w:val="0"/>
              <w:spacing w:before="0" w:after="283"/>
              <w:jc w:val="both"/>
              <w:rPr/>
            </w:pPr>
            <w:r>
              <w:rPr/>
              <w:t> </w:t>
            </w:r>
          </w:p>
        </w:tc>
        <w:tc>
          <w:tcPr>
            <w:tcW w:w="5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Alle Warrants anses for optjent og kan udnyttes straks på tildelingstidspunktet.</w:t>
            </w:r>
          </w:p>
        </w:tc>
        <w:tc>
          <w:tcPr>
            <w:tcW w:w="60" w:type="dxa"/>
            <w:tcBorders/>
            <w:vAlign w:val="center"/>
          </w:tcPr>
          <w:p>
            <w:pPr>
              <w:pStyle w:val="TableContents"/>
              <w:bidi w:val="0"/>
              <w:spacing w:before="0" w:after="283"/>
              <w:jc w:val="both"/>
              <w:rPr/>
            </w:pPr>
            <w:r>
              <w:rPr/>
              <w:t> </w:t>
            </w:r>
          </w:p>
        </w:tc>
        <w:tc>
          <w:tcPr>
            <w:tcW w:w="41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Warrants shall be deemed vested and immediately exercisable as per the grant date.</w:t>
            </w:r>
          </w:p>
        </w:tc>
      </w:tr>
      <w:tr>
        <w:trPr/>
        <w:tc>
          <w:tcPr>
            <w:tcW w:w="14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4. </w:t>
            </w:r>
          </w:p>
        </w:tc>
        <w:tc>
          <w:tcPr>
            <w:tcW w:w="58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UDNYTTELSE</w:t>
            </w:r>
          </w:p>
        </w:tc>
        <w:tc>
          <w:tcPr>
            <w:tcW w:w="60" w:type="dxa"/>
            <w:tcBorders/>
            <w:vAlign w:val="center"/>
          </w:tcPr>
          <w:p>
            <w:pPr>
              <w:pStyle w:val="TableContents"/>
              <w:bidi w:val="0"/>
              <w:spacing w:before="0" w:after="283"/>
              <w:jc w:val="both"/>
              <w:rPr/>
            </w:pPr>
            <w:r>
              <w:rPr/>
              <w:t> </w:t>
            </w:r>
          </w:p>
        </w:tc>
        <w:tc>
          <w:tcPr>
            <w:tcW w:w="4161"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EXERCISE</w:t>
            </w:r>
          </w:p>
        </w:tc>
      </w:tr>
      <w:tr>
        <w:trPr/>
        <w:tc>
          <w:tcPr>
            <w:tcW w:w="149" w:type="dxa"/>
            <w:tcBorders/>
            <w:vAlign w:val="center"/>
          </w:tcPr>
          <w:p>
            <w:pPr>
              <w:pStyle w:val="TableContents"/>
              <w:bidi w:val="0"/>
              <w:spacing w:before="0" w:after="283"/>
              <w:jc w:val="both"/>
              <w:rPr/>
            </w:pPr>
            <w:r>
              <w:rPr/>
              <w:t> </w:t>
            </w:r>
          </w:p>
        </w:tc>
        <w:tc>
          <w:tcPr>
            <w:tcW w:w="5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kan udnyttes i perioden begyndende 15. december 2023 og indtil 15. december 2026:</w:t>
            </w:r>
          </w:p>
        </w:tc>
        <w:tc>
          <w:tcPr>
            <w:tcW w:w="60" w:type="dxa"/>
            <w:tcBorders/>
            <w:vAlign w:val="center"/>
          </w:tcPr>
          <w:p>
            <w:pPr>
              <w:pStyle w:val="TableContents"/>
              <w:bidi w:val="0"/>
              <w:spacing w:before="0" w:after="283"/>
              <w:jc w:val="both"/>
              <w:rPr/>
            </w:pPr>
            <w:r>
              <w:rPr/>
              <w:t> </w:t>
            </w:r>
          </w:p>
        </w:tc>
        <w:tc>
          <w:tcPr>
            <w:tcW w:w="41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may be exercised in the period commencing 15 December 2023 until 15 December 2026:</w:t>
            </w:r>
          </w:p>
        </w:tc>
      </w:tr>
      <w:tr>
        <w:trPr/>
        <w:tc>
          <w:tcPr>
            <w:tcW w:w="149" w:type="dxa"/>
            <w:tcBorders/>
            <w:vAlign w:val="center"/>
          </w:tcPr>
          <w:p>
            <w:pPr>
              <w:pStyle w:val="TableContents"/>
              <w:bidi w:val="0"/>
              <w:spacing w:before="0" w:after="283"/>
              <w:jc w:val="both"/>
              <w:rPr/>
            </w:pPr>
            <w:r>
              <w:rPr/>
              <w:t> </w:t>
            </w:r>
          </w:p>
        </w:tc>
        <w:tc>
          <w:tcPr>
            <w:tcW w:w="5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Udnyttelsesperioden</w:t>
            </w:r>
            <w:r>
              <w:rPr>
                <w:rFonts w:ascii="Times New Roman;Times;Serif" w:hAnsi="Times New Roman;Times;Serif"/>
                <w:sz w:val="20"/>
              </w:rPr>
              <w:t>").</w:t>
            </w:r>
          </w:p>
        </w:tc>
        <w:tc>
          <w:tcPr>
            <w:tcW w:w="60" w:type="dxa"/>
            <w:tcBorders/>
            <w:vAlign w:val="center"/>
          </w:tcPr>
          <w:p>
            <w:pPr>
              <w:pStyle w:val="TableContents"/>
              <w:bidi w:val="0"/>
              <w:spacing w:before="0" w:after="283"/>
              <w:jc w:val="both"/>
              <w:rPr/>
            </w:pPr>
            <w:r>
              <w:rPr/>
              <w:t> </w:t>
            </w:r>
          </w:p>
        </w:tc>
        <w:tc>
          <w:tcPr>
            <w:tcW w:w="41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b/>
                <w:sz w:val="20"/>
              </w:rPr>
              <w:t>Warrant Exercise Period</w:t>
            </w:r>
            <w:r>
              <w:rPr>
                <w:rFonts w:ascii="Times New Roman;Times;Serif" w:hAnsi="Times New Roman;Times;Serif"/>
                <w:sz w:val="20"/>
              </w:rPr>
              <w:t>”).</w:t>
            </w:r>
          </w:p>
        </w:tc>
      </w:tr>
      <w:tr>
        <w:trPr/>
        <w:tc>
          <w:tcPr>
            <w:tcW w:w="149" w:type="dxa"/>
            <w:tcBorders/>
            <w:vAlign w:val="center"/>
          </w:tcPr>
          <w:p>
            <w:pPr>
              <w:pStyle w:val="TableContents"/>
              <w:bidi w:val="0"/>
              <w:spacing w:before="0" w:after="283"/>
              <w:jc w:val="both"/>
              <w:rPr/>
            </w:pPr>
            <w:r>
              <w:rPr/>
              <w:t> </w:t>
            </w:r>
          </w:p>
        </w:tc>
        <w:tc>
          <w:tcPr>
            <w:tcW w:w="5835" w:type="dxa"/>
            <w:tcBorders/>
            <w:vAlign w:val="center"/>
          </w:tcPr>
          <w:p>
            <w:pPr>
              <w:pStyle w:val="TableContents"/>
              <w:bidi w:val="0"/>
              <w:spacing w:before="0" w:after="283"/>
              <w:jc w:val="both"/>
              <w:rPr/>
            </w:pPr>
            <w:r>
              <w:rPr/>
              <w:t>Warrantindehaveren kan i Udnyttelsesperioden frit udnytte alle eller en del af sine Warrants på alle dage, hvor The Nasdaq Capital Market eller anden US handelsplads, hvor selskabets værdipapirer er noterede er åben for handel (“</w:t>
            </w:r>
            <w:r>
              <w:rPr>
                <w:b/>
              </w:rPr>
              <w:t>Handelsdag</w:t>
            </w:r>
            <w:r>
              <w:rPr/>
              <w:t>”) med virkning fra den dag, hvor en Warrant Udnyttelsesmeddelelse leveres til Selskabet ("</w:t>
            </w:r>
            <w:r>
              <w:rPr>
                <w:b/>
              </w:rPr>
              <w:t>Udnyttelsesdagen</w:t>
            </w:r>
            <w:r>
              <w:rPr/>
              <w:t>") under Warrant Udnyttelsesperioden.</w:t>
            </w:r>
          </w:p>
        </w:tc>
        <w:tc>
          <w:tcPr>
            <w:tcW w:w="60" w:type="dxa"/>
            <w:tcBorders/>
            <w:vAlign w:val="center"/>
          </w:tcPr>
          <w:p>
            <w:pPr>
              <w:pStyle w:val="TableContents"/>
              <w:bidi w:val="0"/>
              <w:spacing w:before="0" w:after="283"/>
              <w:jc w:val="both"/>
              <w:rPr/>
            </w:pPr>
            <w:r>
              <w:rPr/>
              <w:t> </w:t>
            </w:r>
          </w:p>
        </w:tc>
        <w:tc>
          <w:tcPr>
            <w:tcW w:w="41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Warrantholder may exercise all or part of its Warrants on any day The Nasdaq Capital Market or any other U.S. trading market on which the securities of the Company are listed is open for business (“</w:t>
            </w:r>
            <w:r>
              <w:rPr>
                <w:rFonts w:ascii="Times New Roman;Times;Serif" w:hAnsi="Times New Roman;Times;Serif"/>
                <w:b/>
                <w:sz w:val="20"/>
              </w:rPr>
              <w:t>Trading Day</w:t>
            </w:r>
            <w:r>
              <w:rPr>
                <w:rFonts w:ascii="Times New Roman;Times;Serif" w:hAnsi="Times New Roman;Times;Serif"/>
                <w:sz w:val="20"/>
              </w:rPr>
              <w:t>”) of its choice effective at the date of its delivery of a Warrant Exercise Notice (the “</w:t>
            </w:r>
            <w:r>
              <w:rPr>
                <w:rFonts w:ascii="Times New Roman;Times;Serif" w:hAnsi="Times New Roman;Times;Serif"/>
                <w:b/>
                <w:sz w:val="20"/>
              </w:rPr>
              <w:t>Warrant Exercise Date</w:t>
            </w:r>
            <w:r>
              <w:rPr>
                <w:rFonts w:ascii="Times New Roman;Times;Serif" w:hAnsi="Times New Roman;Times;Serif"/>
                <w:sz w:val="20"/>
              </w:rPr>
              <w:t>”) during the Warrant Exercise Period.</w:t>
            </w:r>
          </w:p>
        </w:tc>
      </w:tr>
      <w:tr>
        <w:trPr/>
        <w:tc>
          <w:tcPr>
            <w:tcW w:w="149" w:type="dxa"/>
            <w:tcBorders/>
            <w:vAlign w:val="center"/>
          </w:tcPr>
          <w:p>
            <w:pPr>
              <w:pStyle w:val="TableContents"/>
              <w:bidi w:val="0"/>
              <w:spacing w:before="0" w:after="283"/>
              <w:jc w:val="both"/>
              <w:rPr/>
            </w:pPr>
            <w:r>
              <w:rPr/>
              <w:t> </w:t>
            </w:r>
          </w:p>
        </w:tc>
        <w:tc>
          <w:tcPr>
            <w:tcW w:w="5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På hver valgt Udnyttelsesdag kan Warrantindehaveren udnytte alle eller en del af sine Warrants ved at give meddelelse til Udstederen ("</w:t>
            </w:r>
            <w:r>
              <w:rPr>
                <w:rFonts w:ascii="Times New Roman;Times;Serif" w:hAnsi="Times New Roman;Times;Serif"/>
                <w:b/>
                <w:sz w:val="20"/>
              </w:rPr>
              <w:t>Warrant Udnyttelsesmeddelelsen</w:t>
            </w:r>
            <w:r>
              <w:rPr>
                <w:rFonts w:ascii="Times New Roman;Times;Serif" w:hAnsi="Times New Roman;Times;Serif"/>
                <w:sz w:val="20"/>
              </w:rPr>
              <w:t>") og kontant betale den modsvarende Udnyttelsespris, herunder ved bankoverførsel.</w:t>
            </w:r>
          </w:p>
        </w:tc>
        <w:tc>
          <w:tcPr>
            <w:tcW w:w="60" w:type="dxa"/>
            <w:tcBorders/>
            <w:vAlign w:val="center"/>
          </w:tcPr>
          <w:p>
            <w:pPr>
              <w:pStyle w:val="TableContents"/>
              <w:bidi w:val="0"/>
              <w:spacing w:before="0" w:after="283"/>
              <w:jc w:val="both"/>
              <w:rPr/>
            </w:pPr>
            <w:r>
              <w:rPr/>
              <w:t> </w:t>
            </w:r>
          </w:p>
        </w:tc>
        <w:tc>
          <w:tcPr>
            <w:tcW w:w="41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each chosen Warrant Exercise Date, the Warrantholder shall exercise all or part of its Warrants by giving notice to the Company (the “</w:t>
            </w:r>
            <w:r>
              <w:rPr>
                <w:rFonts w:ascii="Times New Roman;Times;Serif" w:hAnsi="Times New Roman;Times;Serif"/>
                <w:b/>
                <w:sz w:val="20"/>
              </w:rPr>
              <w:t>Warrant Exercise Notice</w:t>
            </w:r>
            <w:r>
              <w:rPr>
                <w:rFonts w:ascii="Times New Roman;Times;Serif" w:hAnsi="Times New Roman;Times;Serif"/>
                <w:sz w:val="20"/>
              </w:rPr>
              <w:t>”) and pay the corresponding Exercise Price in cash (including by wire transfer).</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r>
        <w:rPr/>
        <w:drawing>
          <wp:inline distT="0" distB="0" distL="0" distR="0">
            <wp:extent cx="1181100" cy="39624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81100" cy="39624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3"/>
        <w:gridCol w:w="5088"/>
        <w:gridCol w:w="60"/>
        <w:gridCol w:w="4914"/>
      </w:tblGrid>
      <w:tr>
        <w:trPr/>
        <w:tc>
          <w:tcPr>
            <w:tcW w:w="143" w:type="dxa"/>
            <w:tcBorders/>
            <w:vAlign w:val="center"/>
          </w:tcPr>
          <w:p>
            <w:pPr>
              <w:pStyle w:val="TableContents"/>
              <w:bidi w:val="0"/>
              <w:spacing w:before="0" w:after="283"/>
              <w:jc w:val="left"/>
              <w:rPr/>
            </w:pPr>
            <w:r>
              <w:rPr/>
              <w:t> </w:t>
            </w:r>
          </w:p>
        </w:tc>
        <w:tc>
          <w:tcPr>
            <w:tcW w:w="50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den sidste dag i en Udnyttelsesperiode er en lørdag eller en søndag, omfatter Udnyttelsesperioden også den herefter førstkommende hverdag.</w:t>
            </w:r>
          </w:p>
        </w:tc>
        <w:tc>
          <w:tcPr>
            <w:tcW w:w="60" w:type="dxa"/>
            <w:tcBorders/>
            <w:vAlign w:val="center"/>
          </w:tcPr>
          <w:p>
            <w:pPr>
              <w:pStyle w:val="TableContents"/>
              <w:bidi w:val="0"/>
              <w:spacing w:before="0" w:after="283"/>
              <w:jc w:val="left"/>
              <w:rPr/>
            </w:pPr>
            <w:r>
              <w:rPr/>
              <w:t> </w:t>
            </w:r>
          </w:p>
        </w:tc>
        <w:tc>
          <w:tcPr>
            <w:tcW w:w="4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last day of the Warrant Exercise Period is a Saturday or Sunday, the Warrant Exercise Period shall also include the first Trading Day immediately following the stipulated period.</w:t>
            </w:r>
          </w:p>
        </w:tc>
      </w:tr>
      <w:tr>
        <w:trPr/>
        <w:tc>
          <w:tcPr>
            <w:tcW w:w="143" w:type="dxa"/>
            <w:tcBorders/>
            <w:vAlign w:val="center"/>
          </w:tcPr>
          <w:p>
            <w:pPr>
              <w:pStyle w:val="TableContents"/>
              <w:bidi w:val="0"/>
              <w:spacing w:before="0" w:after="283"/>
              <w:jc w:val="left"/>
              <w:rPr/>
            </w:pPr>
            <w:r>
              <w:rPr/>
              <w:t> </w:t>
            </w:r>
          </w:p>
        </w:tc>
        <w:tc>
          <w:tcPr>
            <w:tcW w:w="50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Warrants, som Warrantindehaveren ikke udnytter i Udnyttelsesperioden, bortfalder uden yderligere varsel og uden kompensation eller vederlag af nogen art til Warrantindehaveren.</w:t>
            </w:r>
          </w:p>
        </w:tc>
        <w:tc>
          <w:tcPr>
            <w:tcW w:w="60" w:type="dxa"/>
            <w:tcBorders/>
            <w:vAlign w:val="center"/>
          </w:tcPr>
          <w:p>
            <w:pPr>
              <w:pStyle w:val="TableContents"/>
              <w:bidi w:val="0"/>
              <w:spacing w:before="0" w:after="283"/>
              <w:jc w:val="left"/>
              <w:rPr/>
            </w:pPr>
            <w:r>
              <w:rPr/>
              <w:t> </w:t>
            </w:r>
          </w:p>
        </w:tc>
        <w:tc>
          <w:tcPr>
            <w:tcW w:w="4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not exercised by the Warrantholder during the Warrant Exercise Period shall become null and void without further notice and without compensation or payment of any kind to the Warrantholder.</w:t>
            </w:r>
          </w:p>
        </w:tc>
      </w:tr>
      <w:tr>
        <w:trPr/>
        <w:tc>
          <w:tcPr>
            <w:tcW w:w="143" w:type="dxa"/>
            <w:tcBorders/>
            <w:vAlign w:val="center"/>
          </w:tcPr>
          <w:p>
            <w:pPr>
              <w:pStyle w:val="TableContents"/>
              <w:bidi w:val="0"/>
              <w:spacing w:before="0" w:after="283"/>
              <w:jc w:val="left"/>
              <w:rPr/>
            </w:pPr>
            <w:r>
              <w:rPr/>
              <w:t> </w:t>
            </w:r>
          </w:p>
        </w:tc>
        <w:tc>
          <w:tcPr>
            <w:tcW w:w="50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skal indenfor fem (5) Handelsdage fra udløbet af Udnyttelsesperioden, iværksætte registrering enhver relateret og påkrævet registrering hos Erhvervsstyrelsen.</w:t>
            </w:r>
          </w:p>
        </w:tc>
        <w:tc>
          <w:tcPr>
            <w:tcW w:w="60" w:type="dxa"/>
            <w:tcBorders/>
            <w:vAlign w:val="center"/>
          </w:tcPr>
          <w:p>
            <w:pPr>
              <w:pStyle w:val="TableContents"/>
              <w:bidi w:val="0"/>
              <w:spacing w:before="0" w:after="283"/>
              <w:jc w:val="left"/>
              <w:rPr/>
            </w:pPr>
            <w:r>
              <w:rPr/>
              <w:t> </w:t>
            </w:r>
          </w:p>
        </w:tc>
        <w:tc>
          <w:tcPr>
            <w:tcW w:w="4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within five (5) Trading Days from the expiration of the Warrant Exercise Period, initiate any related required filing with the Danish Business Authority.</w:t>
            </w:r>
          </w:p>
        </w:tc>
      </w:tr>
      <w:tr>
        <w:trPr/>
        <w:tc>
          <w:tcPr>
            <w:tcW w:w="143" w:type="dxa"/>
            <w:tcBorders/>
            <w:vAlign w:val="center"/>
          </w:tcPr>
          <w:p>
            <w:pPr>
              <w:pStyle w:val="TableContents"/>
              <w:bidi w:val="0"/>
              <w:spacing w:before="0" w:after="283"/>
              <w:jc w:val="left"/>
              <w:rPr>
                <w:b/>
                <w:sz w:val="20"/>
              </w:rPr>
            </w:pPr>
            <w:r>
              <w:rPr>
                <w:b/>
                <w:sz w:val="20"/>
              </w:rPr>
              <w:t>5.</w:t>
            </w:r>
          </w:p>
        </w:tc>
        <w:tc>
          <w:tcPr>
            <w:tcW w:w="5088" w:type="dxa"/>
            <w:tcBorders/>
            <w:vAlign w:val="center"/>
          </w:tcPr>
          <w:p>
            <w:pPr>
              <w:pStyle w:val="TableContents"/>
              <w:bidi w:val="0"/>
              <w:spacing w:before="0" w:after="283"/>
              <w:jc w:val="both"/>
              <w:rPr>
                <w:b/>
                <w:sz w:val="20"/>
              </w:rPr>
            </w:pPr>
            <w:r>
              <w:rPr>
                <w:b/>
                <w:sz w:val="20"/>
              </w:rPr>
              <w:t>JUSTERING AF WARRANTS</w:t>
            </w:r>
          </w:p>
        </w:tc>
        <w:tc>
          <w:tcPr>
            <w:tcW w:w="60" w:type="dxa"/>
            <w:tcBorders/>
            <w:vAlign w:val="center"/>
          </w:tcPr>
          <w:p>
            <w:pPr>
              <w:pStyle w:val="TableContents"/>
              <w:bidi w:val="0"/>
              <w:spacing w:before="0" w:after="283"/>
              <w:jc w:val="left"/>
              <w:rPr/>
            </w:pPr>
            <w:r>
              <w:rPr/>
              <w:t> </w:t>
            </w:r>
          </w:p>
        </w:tc>
        <w:tc>
          <w:tcPr>
            <w:tcW w:w="4914" w:type="dxa"/>
            <w:tcBorders/>
            <w:vAlign w:val="center"/>
          </w:tcPr>
          <w:p>
            <w:pPr>
              <w:pStyle w:val="TableContents"/>
              <w:bidi w:val="0"/>
              <w:spacing w:before="0" w:after="283"/>
              <w:jc w:val="both"/>
              <w:rPr>
                <w:b/>
                <w:sz w:val="20"/>
              </w:rPr>
            </w:pPr>
            <w:r>
              <w:rPr>
                <w:b/>
                <w:sz w:val="20"/>
              </w:rPr>
              <w:t>ADJUSTMENT OF WARRANTS</w:t>
            </w:r>
          </w:p>
        </w:tc>
      </w:tr>
      <w:tr>
        <w:trPr/>
        <w:tc>
          <w:tcPr>
            <w:tcW w:w="143" w:type="dxa"/>
            <w:tcBorders/>
            <w:vAlign w:val="center"/>
          </w:tcPr>
          <w:p>
            <w:pPr>
              <w:pStyle w:val="TableContents"/>
              <w:bidi w:val="0"/>
              <w:spacing w:before="0" w:after="283"/>
              <w:jc w:val="left"/>
              <w:rPr/>
            </w:pPr>
            <w:r>
              <w:rPr/>
              <w:t> </w:t>
            </w:r>
          </w:p>
        </w:tc>
        <w:tc>
          <w:tcPr>
            <w:tcW w:w="50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der sker ændringer i Selskabets kapitalforhold (herunder men ikke begrænset til aktiesplit, omvendt aktiesplit, sammenlægning eller anden lignende begivenhed, som giver anledning til sådan ændring), der medfører en ændring af værdien af en warrant, skal Warrants justeres i henhold til nærværende punkt 5.</w:t>
            </w:r>
          </w:p>
        </w:tc>
        <w:tc>
          <w:tcPr>
            <w:tcW w:w="60" w:type="dxa"/>
            <w:tcBorders/>
            <w:vAlign w:val="center"/>
          </w:tcPr>
          <w:p>
            <w:pPr>
              <w:pStyle w:val="TableContents"/>
              <w:bidi w:val="0"/>
              <w:spacing w:before="0" w:after="283"/>
              <w:jc w:val="left"/>
              <w:rPr/>
            </w:pPr>
            <w:r>
              <w:rPr/>
              <w:t> </w:t>
            </w:r>
          </w:p>
        </w:tc>
        <w:tc>
          <w:tcPr>
            <w:tcW w:w="4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Company's capital structure (including, but not limited to a stock splits, reverse stock split, consolidation or other similar event giving rise to such change) causing a change of the value of a Warrant shall require an adjustment of the Warrants in accordance with this clause 5.</w:t>
            </w:r>
          </w:p>
        </w:tc>
      </w:tr>
      <w:tr>
        <w:trPr/>
        <w:tc>
          <w:tcPr>
            <w:tcW w:w="143" w:type="dxa"/>
            <w:tcBorders/>
            <w:vAlign w:val="center"/>
          </w:tcPr>
          <w:p>
            <w:pPr>
              <w:pStyle w:val="TableContents"/>
              <w:bidi w:val="0"/>
              <w:spacing w:before="0" w:after="283"/>
              <w:jc w:val="left"/>
              <w:rPr/>
            </w:pPr>
            <w:r>
              <w:rPr/>
              <w:t> </w:t>
            </w:r>
          </w:p>
        </w:tc>
        <w:tc>
          <w:tcPr>
            <w:tcW w:w="5088" w:type="dxa"/>
            <w:tcBorders/>
            <w:vAlign w:val="center"/>
          </w:tcPr>
          <w:p>
            <w:pPr>
              <w:pStyle w:val="TableContents"/>
              <w:bidi w:val="0"/>
              <w:spacing w:before="0" w:after="283"/>
              <w:jc w:val="both"/>
              <w:rPr>
                <w:sz w:val="20"/>
              </w:rPr>
            </w:pPr>
            <w:r>
              <w:rPr>
                <w:sz w:val="20"/>
              </w:rPr>
              <w:t>En justering skal ske, således at den potentielle gevinstmulighed, der er knyttet til en warrant, for så vidt angår de underliggende aktier, så vidt muligt er den samme som før og efter indtræden af den hændelse, der begrunder justeringen. Justeringen gennemføres med bistand fra en ekstern uafhængig rådgiver, som vælges af Selskabets bestyrelse. Justeringen kan ske enten ved en forøgelse eller en formindskelse af det antal aktier, der kan udstedes i henhold til en warrant, og/eller en forøgelse eller formindskelse af udnyttelseskursen.</w:t>
            </w:r>
          </w:p>
        </w:tc>
        <w:tc>
          <w:tcPr>
            <w:tcW w:w="60" w:type="dxa"/>
            <w:tcBorders/>
            <w:vAlign w:val="center"/>
          </w:tcPr>
          <w:p>
            <w:pPr>
              <w:pStyle w:val="TableContents"/>
              <w:bidi w:val="0"/>
              <w:spacing w:before="0" w:after="283"/>
              <w:jc w:val="left"/>
              <w:rPr/>
            </w:pPr>
            <w:r>
              <w:rPr/>
              <w:t> </w:t>
            </w:r>
          </w:p>
        </w:tc>
        <w:tc>
          <w:tcPr>
            <w:tcW w:w="4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Adjustments shall be made so that the change of the value of a Warrant with respect to the underlying ordinary shares of the Company shall remain the same before and after the occurrence of the event causing the adjustment. The adjustment shall be carried out with the assistance of an external independent advisor appointed by the Company’s board of directors. The adjustment may be completed either by an increase or decrease of the number of shares that can be issued following an exercise of a warrant and/or an increase or decrease of the Exercise Price.</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r>
        <w:rPr/>
        <w:drawing>
          <wp:inline distT="0" distB="0" distL="0" distR="0">
            <wp:extent cx="1181100" cy="39624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81100" cy="39624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410"/>
        <w:gridCol w:w="60"/>
        <w:gridCol w:w="4660"/>
      </w:tblGrid>
      <w:tr>
        <w:trPr/>
        <w:tc>
          <w:tcPr>
            <w:tcW w:w="75" w:type="dxa"/>
            <w:tcBorders/>
            <w:vAlign w:val="center"/>
          </w:tcPr>
          <w:p>
            <w:pPr>
              <w:pStyle w:val="TableContents"/>
              <w:bidi w:val="0"/>
              <w:spacing w:before="0" w:after="283"/>
              <w:jc w:val="both"/>
              <w:rPr/>
            </w:pPr>
            <w:r>
              <w:rPr/>
              <w:t> </w:t>
            </w:r>
          </w:p>
        </w:tc>
        <w:tc>
          <w:tcPr>
            <w:tcW w:w="5410" w:type="dxa"/>
            <w:tcBorders/>
            <w:vAlign w:val="center"/>
          </w:tcPr>
          <w:p>
            <w:pPr>
              <w:pStyle w:val="TableContents"/>
              <w:bidi w:val="0"/>
              <w:spacing w:before="0" w:after="283"/>
              <w:jc w:val="both"/>
              <w:rPr>
                <w:sz w:val="20"/>
              </w:rPr>
            </w:pPr>
            <w:r>
              <w:rPr>
                <w:sz w:val="20"/>
              </w:rPr>
              <w:t>Selskabets udstedelse af medarbejderaktier, aktieoptioner og/eller warrants som led i medarbejderaktieordninger (herunder til bestyrelsesmedlemmer, rådgivere og konsulenter) såvel som senere udnyttelse af sådanne optioner og/eller warrants, medfører ikke krav på justering af warrants. Den kapitalforhøjelse, der finder sted i) som følge af Warrantindehaverne udnyttelse af warrants i Selskabet eller ii) Warrantindehaverens udnyttelse af konvertible obligationer, medfører heller ikke justering af warrants.</w:t>
            </w:r>
          </w:p>
        </w:tc>
        <w:tc>
          <w:tcPr>
            <w:tcW w:w="60" w:type="dxa"/>
            <w:tcBorders/>
            <w:vAlign w:val="center"/>
          </w:tcPr>
          <w:p>
            <w:pPr>
              <w:pStyle w:val="TableContents"/>
              <w:bidi w:val="0"/>
              <w:spacing w:before="0" w:after="283"/>
              <w:jc w:val="both"/>
              <w:rPr/>
            </w:pPr>
            <w:r>
              <w:rPr/>
              <w:t> </w:t>
            </w:r>
          </w:p>
        </w:tc>
        <w:tc>
          <w:tcPr>
            <w:tcW w:w="4660" w:type="dxa"/>
            <w:tcBorders/>
            <w:vAlign w:val="center"/>
          </w:tcPr>
          <w:p>
            <w:pPr>
              <w:pStyle w:val="TableContents"/>
              <w:bidi w:val="0"/>
              <w:spacing w:before="0" w:after="283"/>
              <w:jc w:val="both"/>
              <w:rPr>
                <w:sz w:val="20"/>
              </w:rPr>
            </w:pPr>
            <w:r>
              <w:rPr>
                <w:sz w:val="20"/>
              </w:rPr>
              <w:t>Warrants shall not be adjusted solely as a result of the Company’s issue of employee shares, share options and/or warrants as part of employee share option schemes (including options to Directors, advisors and consultants) as well as future exercise of such options and/or warrants. Warrants shall, furthermore, not be adjusted solely as a result of i) capital increases following the Warrantholders’ exercise of Warrants in the Company or ii) the Warrantholder’s conversion of convertible notes issued by the Company.</w:t>
            </w:r>
          </w:p>
        </w:tc>
      </w:tr>
      <w:tr>
        <w:trPr/>
        <w:tc>
          <w:tcPr>
            <w:tcW w:w="75" w:type="dxa"/>
            <w:tcBorders/>
            <w:vAlign w:val="center"/>
          </w:tcPr>
          <w:p>
            <w:pPr>
              <w:pStyle w:val="TableContents"/>
              <w:bidi w:val="0"/>
              <w:spacing w:before="0" w:after="283"/>
              <w:jc w:val="both"/>
              <w:rPr/>
            </w:pPr>
            <w:r>
              <w:rPr/>
              <w:t> </w:t>
            </w:r>
          </w:p>
        </w:tc>
        <w:tc>
          <w:tcPr>
            <w:tcW w:w="5410" w:type="dxa"/>
            <w:tcBorders/>
            <w:vAlign w:val="center"/>
          </w:tcPr>
          <w:p>
            <w:pPr>
              <w:pStyle w:val="TableContents"/>
              <w:bidi w:val="0"/>
              <w:spacing w:before="0" w:after="283"/>
              <w:jc w:val="both"/>
              <w:rPr>
                <w:sz w:val="20"/>
              </w:rPr>
            </w:pPr>
            <w:r>
              <w:rPr>
                <w:sz w:val="20"/>
              </w:rPr>
              <w:t>Enhver regulering af Udnyttelseskursen og/eller det antal aktier som kan tegnes ved udnyttelse af Warrants i henhold til dette pkt. 5 skal alene gælde for Warrants, som endnu ikke er udnyttet på det tidspunkt, der medfører en regulering. Allerede udnyttede Warrants påvirkes ikke af reguleringer.</w:t>
            </w:r>
          </w:p>
        </w:tc>
        <w:tc>
          <w:tcPr>
            <w:tcW w:w="60" w:type="dxa"/>
            <w:tcBorders/>
            <w:vAlign w:val="center"/>
          </w:tcPr>
          <w:p>
            <w:pPr>
              <w:pStyle w:val="TableContents"/>
              <w:bidi w:val="0"/>
              <w:spacing w:before="0" w:after="283"/>
              <w:jc w:val="both"/>
              <w:rPr/>
            </w:pPr>
            <w:r>
              <w:rPr/>
              <w:t> </w:t>
            </w:r>
          </w:p>
        </w:tc>
        <w:tc>
          <w:tcPr>
            <w:tcW w:w="4660" w:type="dxa"/>
            <w:tcBorders/>
            <w:vAlign w:val="center"/>
          </w:tcPr>
          <w:p>
            <w:pPr>
              <w:pStyle w:val="TableContents"/>
              <w:bidi w:val="0"/>
              <w:spacing w:before="0" w:after="283"/>
              <w:jc w:val="both"/>
              <w:rPr>
                <w:sz w:val="20"/>
              </w:rPr>
            </w:pPr>
            <w:r>
              <w:rPr>
                <w:sz w:val="20"/>
              </w:rPr>
              <w:t>Any adjustments of the Exercise Price and/or the number of shares that can be subscribed for by exercising the Warrants pursuant to this clause 5 shall only apply to Warrants not exercised by the Warrantholder at the time of the event triggering the adjustment. No adjustment shall affect already exercised Warrants.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1181100" cy="39624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81100" cy="396240"/>
                    </a:xfrm>
                    <a:prstGeom prst="rect">
                      <a:avLst/>
                    </a:prstGeom>
                  </pic:spPr>
                </pic:pic>
              </a:graphicData>
            </a:graphic>
          </wp:inline>
        </w:drawing>
      </w: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65"/>
        <w:gridCol w:w="238"/>
        <w:gridCol w:w="4086"/>
        <w:gridCol w:w="90"/>
        <w:gridCol w:w="295"/>
        <w:gridCol w:w="5131"/>
      </w:tblGrid>
      <w:tr>
        <w:trPr/>
        <w:tc>
          <w:tcPr>
            <w:tcW w:w="365" w:type="dxa"/>
            <w:tcBorders/>
            <w:vAlign w:val="center"/>
          </w:tcPr>
          <w:p>
            <w:pPr>
              <w:pStyle w:val="TableContents"/>
              <w:bidi w:val="0"/>
              <w:spacing w:before="0" w:after="283"/>
              <w:jc w:val="both"/>
              <w:rPr>
                <w:b/>
              </w:rPr>
            </w:pPr>
            <w:r>
              <w:rPr>
                <w:b/>
              </w:rPr>
              <w:t>5.3</w:t>
            </w:r>
          </w:p>
        </w:tc>
        <w:tc>
          <w:tcPr>
            <w:tcW w:w="4324" w:type="dxa"/>
            <w:gridSpan w:val="2"/>
            <w:tcBorders/>
            <w:vAlign w:val="center"/>
          </w:tcPr>
          <w:p>
            <w:pPr>
              <w:pStyle w:val="TableContents"/>
              <w:bidi w:val="0"/>
              <w:spacing w:before="0" w:after="283"/>
              <w:jc w:val="both"/>
              <w:rPr>
                <w:b/>
                <w:sz w:val="20"/>
              </w:rPr>
            </w:pPr>
            <w:r>
              <w:rPr>
                <w:b/>
                <w:sz w:val="20"/>
              </w:rPr>
              <w:t>Fondsaktier:</w:t>
            </w:r>
          </w:p>
        </w:tc>
        <w:tc>
          <w:tcPr>
            <w:tcW w:w="90" w:type="dxa"/>
            <w:tcBorders/>
            <w:vAlign w:val="center"/>
          </w:tcPr>
          <w:p>
            <w:pPr>
              <w:pStyle w:val="TableContents"/>
              <w:bidi w:val="0"/>
              <w:spacing w:before="0" w:after="283"/>
              <w:jc w:val="both"/>
              <w:rPr/>
            </w:pPr>
            <w:r>
              <w:rPr/>
              <w:t> </w:t>
            </w:r>
          </w:p>
        </w:tc>
        <w:tc>
          <w:tcPr>
            <w:tcW w:w="5426" w:type="dxa"/>
            <w:gridSpan w:val="2"/>
            <w:tcBorders/>
            <w:vAlign w:val="center"/>
          </w:tcPr>
          <w:p>
            <w:pPr>
              <w:pStyle w:val="TableContents"/>
              <w:bidi w:val="0"/>
              <w:spacing w:before="0" w:after="283"/>
              <w:jc w:val="both"/>
              <w:rPr>
                <w:b/>
                <w:sz w:val="20"/>
              </w:rPr>
            </w:pPr>
            <w:r>
              <w:rPr>
                <w:b/>
                <w:sz w:val="20"/>
              </w:rPr>
              <w:t>Treasury Shares</w:t>
            </w:r>
          </w:p>
        </w:tc>
      </w:tr>
      <w:tr>
        <w:trPr/>
        <w:tc>
          <w:tcPr>
            <w:tcW w:w="365" w:type="dxa"/>
            <w:tcBorders/>
            <w:vAlign w:val="center"/>
          </w:tcPr>
          <w:p>
            <w:pPr>
              <w:pStyle w:val="TableContents"/>
              <w:bidi w:val="0"/>
              <w:spacing w:before="0" w:after="283"/>
              <w:jc w:val="both"/>
              <w:rPr/>
            </w:pPr>
            <w:r>
              <w:rPr/>
              <w:t> </w:t>
            </w:r>
          </w:p>
        </w:tc>
        <w:tc>
          <w:tcPr>
            <w:tcW w:w="4324" w:type="dxa"/>
            <w:gridSpan w:val="2"/>
            <w:tcBorders/>
            <w:vAlign w:val="center"/>
          </w:tcPr>
          <w:p>
            <w:pPr>
              <w:pStyle w:val="TableContents"/>
              <w:bidi w:val="0"/>
              <w:spacing w:before="0" w:after="283"/>
              <w:jc w:val="both"/>
              <w:rPr>
                <w:sz w:val="20"/>
              </w:rPr>
            </w:pPr>
            <w:r>
              <w:rPr>
                <w:sz w:val="20"/>
              </w:rPr>
              <w:t>Hvis det besluttes at udstede fondsaktier i Selskabet, skal Warrants justeres således:</w:t>
            </w:r>
          </w:p>
        </w:tc>
        <w:tc>
          <w:tcPr>
            <w:tcW w:w="90" w:type="dxa"/>
            <w:tcBorders/>
            <w:vAlign w:val="center"/>
          </w:tcPr>
          <w:p>
            <w:pPr>
              <w:pStyle w:val="TableContents"/>
              <w:bidi w:val="0"/>
              <w:spacing w:before="0" w:after="283"/>
              <w:jc w:val="both"/>
              <w:rPr/>
            </w:pPr>
            <w:r>
              <w:rPr/>
              <w:t> </w:t>
            </w:r>
          </w:p>
        </w:tc>
        <w:tc>
          <w:tcPr>
            <w:tcW w:w="5426" w:type="dxa"/>
            <w:gridSpan w:val="2"/>
            <w:tcBorders/>
            <w:vAlign w:val="center"/>
          </w:tcPr>
          <w:p>
            <w:pPr>
              <w:pStyle w:val="TableContents"/>
              <w:bidi w:val="0"/>
              <w:spacing w:before="0" w:after="283"/>
              <w:jc w:val="both"/>
              <w:rPr>
                <w:sz w:val="20"/>
              </w:rPr>
            </w:pPr>
            <w:r>
              <w:rPr>
                <w:sz w:val="20"/>
              </w:rPr>
              <w:t>If it is decided to issue treasury shares in the Company, Warrants shall be adjusted as follows:</w:t>
            </w:r>
          </w:p>
        </w:tc>
      </w:tr>
      <w:tr>
        <w:trPr/>
        <w:tc>
          <w:tcPr>
            <w:tcW w:w="365" w:type="dxa"/>
            <w:tcBorders/>
            <w:vAlign w:val="center"/>
          </w:tcPr>
          <w:p>
            <w:pPr>
              <w:pStyle w:val="TableContents"/>
              <w:bidi w:val="0"/>
              <w:spacing w:before="0" w:after="283"/>
              <w:jc w:val="both"/>
              <w:rPr/>
            </w:pPr>
            <w:r>
              <w:rPr/>
              <w:t> </w:t>
            </w:r>
          </w:p>
        </w:tc>
        <w:tc>
          <w:tcPr>
            <w:tcW w:w="4324" w:type="dxa"/>
            <w:gridSpan w:val="2"/>
            <w:tcBorders/>
            <w:vAlign w:val="center"/>
          </w:tcPr>
          <w:p>
            <w:pPr>
              <w:pStyle w:val="TableContents"/>
              <w:bidi w:val="0"/>
              <w:spacing w:before="0" w:after="283"/>
              <w:jc w:val="both"/>
              <w:rPr>
                <w:sz w:val="20"/>
              </w:rPr>
            </w:pPr>
            <w:r>
              <w:rPr>
                <w:sz w:val="20"/>
              </w:rPr>
              <w:t>Udnyttelsesprisen på enhver endnu ikke udnyttet Warrant ganges med faktoren:</w:t>
            </w:r>
          </w:p>
        </w:tc>
        <w:tc>
          <w:tcPr>
            <w:tcW w:w="90" w:type="dxa"/>
            <w:tcBorders/>
            <w:vAlign w:val="center"/>
          </w:tcPr>
          <w:p>
            <w:pPr>
              <w:pStyle w:val="TableContents"/>
              <w:bidi w:val="0"/>
              <w:spacing w:before="0" w:after="283"/>
              <w:jc w:val="both"/>
              <w:rPr/>
            </w:pPr>
            <w:r>
              <w:rPr/>
              <w:t> </w:t>
            </w:r>
          </w:p>
        </w:tc>
        <w:tc>
          <w:tcPr>
            <w:tcW w:w="5426" w:type="dxa"/>
            <w:gridSpan w:val="2"/>
            <w:tcBorders/>
            <w:vAlign w:val="center"/>
          </w:tcPr>
          <w:p>
            <w:pPr>
              <w:pStyle w:val="TableContents"/>
              <w:bidi w:val="0"/>
              <w:spacing w:before="0" w:after="283"/>
              <w:jc w:val="both"/>
              <w:rPr>
                <w:sz w:val="20"/>
              </w:rPr>
            </w:pPr>
            <w:r>
              <w:rPr>
                <w:sz w:val="20"/>
              </w:rPr>
              <w:t>The Exercise Price for each Warrant not yet exercised shall be multiplied by the factor:</w:t>
            </w:r>
          </w:p>
        </w:tc>
      </w:tr>
      <w:tr>
        <w:trPr/>
        <w:tc>
          <w:tcPr>
            <w:tcW w:w="365" w:type="dxa"/>
            <w:tcBorders/>
            <w:vAlign w:val="center"/>
          </w:tcPr>
          <w:p>
            <w:pPr>
              <w:pStyle w:val="TableContents"/>
              <w:bidi w:val="0"/>
              <w:spacing w:before="0" w:after="283"/>
              <w:jc w:val="center"/>
              <w:rPr/>
            </w:pPr>
            <w:r>
              <w:rPr/>
              <w:t> </w:t>
            </w:r>
          </w:p>
        </w:tc>
        <w:tc>
          <w:tcPr>
            <w:tcW w:w="4324" w:type="dxa"/>
            <w:gridSpan w:val="2"/>
            <w:tcBorders/>
            <w:vAlign w:val="center"/>
          </w:tcPr>
          <w:p>
            <w:pPr>
              <w:pStyle w:val="TableContents"/>
              <w:bidi w:val="0"/>
              <w:spacing w:before="0" w:after="283"/>
              <w:jc w:val="center"/>
              <w:rPr/>
            </w:pPr>
            <w:r>
              <w:rPr/>
              <w:drawing>
                <wp:inline distT="0" distB="0" distL="0" distR="0">
                  <wp:extent cx="666750" cy="3111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66750" cy="311150"/>
                          </a:xfrm>
                          <a:prstGeom prst="rect">
                            <a:avLst/>
                          </a:prstGeom>
                        </pic:spPr>
                      </pic:pic>
                    </a:graphicData>
                  </a:graphic>
                </wp:inline>
              </w:drawing>
            </w:r>
          </w:p>
        </w:tc>
        <w:tc>
          <w:tcPr>
            <w:tcW w:w="90" w:type="dxa"/>
            <w:tcBorders/>
            <w:vAlign w:val="center"/>
          </w:tcPr>
          <w:p>
            <w:pPr>
              <w:pStyle w:val="TableContents"/>
              <w:bidi w:val="0"/>
              <w:spacing w:before="0" w:after="283"/>
              <w:jc w:val="center"/>
              <w:rPr/>
            </w:pPr>
            <w:r>
              <w:rPr/>
              <w:t> </w:t>
            </w:r>
          </w:p>
        </w:tc>
        <w:tc>
          <w:tcPr>
            <w:tcW w:w="5426" w:type="dxa"/>
            <w:gridSpan w:val="2"/>
            <w:tcBorders/>
            <w:vAlign w:val="center"/>
          </w:tcPr>
          <w:p>
            <w:pPr>
              <w:pStyle w:val="TableContents"/>
              <w:bidi w:val="0"/>
              <w:spacing w:before="0" w:after="283"/>
              <w:jc w:val="center"/>
              <w:rPr/>
            </w:pPr>
            <w:r>
              <w:rPr/>
              <w:drawing>
                <wp:inline distT="0" distB="0" distL="0" distR="0">
                  <wp:extent cx="666750" cy="3111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66750" cy="311150"/>
                          </a:xfrm>
                          <a:prstGeom prst="rect">
                            <a:avLst/>
                          </a:prstGeom>
                        </pic:spPr>
                      </pic:pic>
                    </a:graphicData>
                  </a:graphic>
                </wp:inline>
              </w:drawing>
            </w:r>
          </w:p>
        </w:tc>
      </w:tr>
      <w:tr>
        <w:trPr/>
        <w:tc>
          <w:tcPr>
            <w:tcW w:w="365" w:type="dxa"/>
            <w:tcBorders/>
            <w:vAlign w:val="center"/>
          </w:tcPr>
          <w:p>
            <w:pPr>
              <w:pStyle w:val="TableContents"/>
              <w:bidi w:val="0"/>
              <w:spacing w:before="0" w:after="283"/>
              <w:jc w:val="both"/>
              <w:rPr/>
            </w:pPr>
            <w:r>
              <w:rPr/>
              <w:t> </w:t>
            </w:r>
          </w:p>
        </w:tc>
        <w:tc>
          <w:tcPr>
            <w:tcW w:w="4324" w:type="dxa"/>
            <w:gridSpan w:val="2"/>
            <w:tcBorders/>
            <w:vAlign w:val="center"/>
          </w:tcPr>
          <w:p>
            <w:pPr>
              <w:pStyle w:val="TableContents"/>
              <w:bidi w:val="0"/>
              <w:spacing w:before="0" w:after="283"/>
              <w:jc w:val="both"/>
              <w:rPr>
                <w:sz w:val="20"/>
              </w:rPr>
            </w:pPr>
            <w:r>
              <w:rPr>
                <w:sz w:val="20"/>
              </w:rPr>
              <w:t>og antallet af endnu ikke udnyttede Warrants ganges med faktoren:</w:t>
            </w:r>
          </w:p>
        </w:tc>
        <w:tc>
          <w:tcPr>
            <w:tcW w:w="90" w:type="dxa"/>
            <w:tcBorders/>
            <w:vAlign w:val="center"/>
          </w:tcPr>
          <w:p>
            <w:pPr>
              <w:pStyle w:val="TableContents"/>
              <w:bidi w:val="0"/>
              <w:spacing w:before="0" w:after="283"/>
              <w:jc w:val="both"/>
              <w:rPr/>
            </w:pPr>
            <w:r>
              <w:rPr/>
              <w:t> </w:t>
            </w:r>
          </w:p>
        </w:tc>
        <w:tc>
          <w:tcPr>
            <w:tcW w:w="5426" w:type="dxa"/>
            <w:gridSpan w:val="2"/>
            <w:tcBorders/>
            <w:vAlign w:val="center"/>
          </w:tcPr>
          <w:p>
            <w:pPr>
              <w:pStyle w:val="TableContents"/>
              <w:bidi w:val="0"/>
              <w:spacing w:before="0" w:after="283"/>
              <w:jc w:val="both"/>
              <w:rPr>
                <w:sz w:val="20"/>
              </w:rPr>
            </w:pPr>
            <w:r>
              <w:rPr>
                <w:sz w:val="20"/>
              </w:rPr>
              <w:t>and the number of Warrants not yet exercised shall be multiplied by the factor:</w:t>
            </w:r>
          </w:p>
        </w:tc>
      </w:tr>
      <w:tr>
        <w:trPr/>
        <w:tc>
          <w:tcPr>
            <w:tcW w:w="365" w:type="dxa"/>
            <w:tcBorders/>
            <w:vAlign w:val="center"/>
          </w:tcPr>
          <w:p>
            <w:pPr>
              <w:pStyle w:val="TableContents"/>
              <w:bidi w:val="0"/>
              <w:spacing w:before="0" w:after="283"/>
              <w:jc w:val="center"/>
              <w:rPr/>
            </w:pPr>
            <w:r>
              <w:rPr/>
              <w:t> </w:t>
            </w:r>
          </w:p>
        </w:tc>
        <w:tc>
          <w:tcPr>
            <w:tcW w:w="4324" w:type="dxa"/>
            <w:gridSpan w:val="2"/>
            <w:tcBorders/>
            <w:vAlign w:val="center"/>
          </w:tcPr>
          <w:p>
            <w:pPr>
              <w:pStyle w:val="TableContents"/>
              <w:bidi w:val="0"/>
              <w:spacing w:before="0" w:after="283"/>
              <w:jc w:val="center"/>
              <w:rPr/>
            </w:pPr>
            <w:r>
              <w:rPr/>
              <w:drawing>
                <wp:inline distT="0" distB="0" distL="0" distR="0">
                  <wp:extent cx="177800" cy="2730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77800" cy="273050"/>
                          </a:xfrm>
                          <a:prstGeom prst="rect">
                            <a:avLst/>
                          </a:prstGeom>
                        </pic:spPr>
                      </pic:pic>
                    </a:graphicData>
                  </a:graphic>
                </wp:inline>
              </w:drawing>
            </w:r>
          </w:p>
        </w:tc>
        <w:tc>
          <w:tcPr>
            <w:tcW w:w="90" w:type="dxa"/>
            <w:tcBorders/>
            <w:vAlign w:val="center"/>
          </w:tcPr>
          <w:p>
            <w:pPr>
              <w:pStyle w:val="TableContents"/>
              <w:bidi w:val="0"/>
              <w:spacing w:before="0" w:after="283"/>
              <w:jc w:val="center"/>
              <w:rPr/>
            </w:pPr>
            <w:r>
              <w:rPr/>
              <w:t> </w:t>
            </w:r>
          </w:p>
        </w:tc>
        <w:tc>
          <w:tcPr>
            <w:tcW w:w="5426" w:type="dxa"/>
            <w:gridSpan w:val="2"/>
            <w:tcBorders/>
            <w:vAlign w:val="center"/>
          </w:tcPr>
          <w:p>
            <w:pPr>
              <w:pStyle w:val="TableContents"/>
              <w:bidi w:val="0"/>
              <w:spacing w:before="0" w:after="283"/>
              <w:jc w:val="center"/>
              <w:rPr/>
            </w:pPr>
            <w:r>
              <w:rPr/>
              <w:drawing>
                <wp:inline distT="0" distB="0" distL="0" distR="0">
                  <wp:extent cx="177800" cy="2730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77800" cy="273050"/>
                          </a:xfrm>
                          <a:prstGeom prst="rect">
                            <a:avLst/>
                          </a:prstGeom>
                        </pic:spPr>
                      </pic:pic>
                    </a:graphicData>
                  </a:graphic>
                </wp:inline>
              </w:drawing>
            </w:r>
          </w:p>
        </w:tc>
      </w:tr>
      <w:tr>
        <w:trPr/>
        <w:tc>
          <w:tcPr>
            <w:tcW w:w="365" w:type="dxa"/>
            <w:tcBorders/>
            <w:vAlign w:val="center"/>
          </w:tcPr>
          <w:p>
            <w:pPr>
              <w:pStyle w:val="TableContents"/>
              <w:bidi w:val="0"/>
              <w:spacing w:before="0" w:after="283"/>
              <w:jc w:val="both"/>
              <w:rPr/>
            </w:pPr>
            <w:r>
              <w:rPr/>
              <w:t> </w:t>
            </w:r>
          </w:p>
        </w:tc>
        <w:tc>
          <w:tcPr>
            <w:tcW w:w="4324" w:type="dxa"/>
            <w:gridSpan w:val="2"/>
            <w:tcBorders/>
            <w:vAlign w:val="center"/>
          </w:tcPr>
          <w:p>
            <w:pPr>
              <w:pStyle w:val="TableContents"/>
              <w:bidi w:val="0"/>
              <w:spacing w:before="0" w:after="283"/>
              <w:jc w:val="both"/>
              <w:rPr>
                <w:sz w:val="20"/>
              </w:rPr>
            </w:pPr>
            <w:r>
              <w:rPr>
                <w:sz w:val="20"/>
              </w:rPr>
              <w:t>hvor:</w:t>
            </w:r>
          </w:p>
        </w:tc>
        <w:tc>
          <w:tcPr>
            <w:tcW w:w="90" w:type="dxa"/>
            <w:tcBorders/>
            <w:vAlign w:val="center"/>
          </w:tcPr>
          <w:p>
            <w:pPr>
              <w:pStyle w:val="TableContents"/>
              <w:bidi w:val="0"/>
              <w:spacing w:before="0" w:after="283"/>
              <w:jc w:val="both"/>
              <w:rPr/>
            </w:pPr>
            <w:r>
              <w:rPr/>
              <w:t> </w:t>
            </w:r>
          </w:p>
        </w:tc>
        <w:tc>
          <w:tcPr>
            <w:tcW w:w="5426" w:type="dxa"/>
            <w:gridSpan w:val="2"/>
            <w:tcBorders/>
            <w:vAlign w:val="center"/>
          </w:tcPr>
          <w:p>
            <w:pPr>
              <w:pStyle w:val="TableContents"/>
              <w:bidi w:val="0"/>
              <w:spacing w:before="0" w:after="283"/>
              <w:jc w:val="both"/>
              <w:rPr>
                <w:sz w:val="20"/>
              </w:rPr>
            </w:pPr>
            <w:r>
              <w:rPr>
                <w:sz w:val="20"/>
              </w:rPr>
              <w:t>where:</w:t>
            </w:r>
          </w:p>
        </w:tc>
      </w:tr>
      <w:tr>
        <w:trPr/>
        <w:tc>
          <w:tcPr>
            <w:tcW w:w="365" w:type="dxa"/>
            <w:tcBorders/>
            <w:vAlign w:val="center"/>
          </w:tcPr>
          <w:p>
            <w:pPr>
              <w:pStyle w:val="TableContents"/>
              <w:bidi w:val="0"/>
              <w:spacing w:before="0" w:after="283"/>
              <w:jc w:val="both"/>
              <w:rPr/>
            </w:pPr>
            <w:r>
              <w:rPr/>
              <w:t> </w:t>
            </w:r>
          </w:p>
        </w:tc>
        <w:tc>
          <w:tcPr>
            <w:tcW w:w="238" w:type="dxa"/>
            <w:tcBorders/>
            <w:vAlign w:val="center"/>
          </w:tcPr>
          <w:p>
            <w:pPr>
              <w:pStyle w:val="TableContents"/>
              <w:bidi w:val="0"/>
              <w:spacing w:before="0" w:after="283"/>
              <w:ind w:left="0" w:right="0" w:hanging="540"/>
              <w:jc w:val="both"/>
              <w:rPr>
                <w:sz w:val="20"/>
              </w:rPr>
            </w:pPr>
            <w:r>
              <w:rPr>
                <w:sz w:val="20"/>
              </w:rPr>
              <w:t>A</w:t>
            </w:r>
          </w:p>
        </w:tc>
        <w:tc>
          <w:tcPr>
            <w:tcW w:w="4086" w:type="dxa"/>
            <w:tcBorders/>
            <w:vAlign w:val="center"/>
          </w:tcPr>
          <w:p>
            <w:pPr>
              <w:pStyle w:val="TableContents"/>
              <w:bidi w:val="0"/>
              <w:spacing w:before="0" w:after="283"/>
              <w:jc w:val="both"/>
              <w:rPr>
                <w:sz w:val="20"/>
              </w:rPr>
            </w:pPr>
            <w:r>
              <w:rPr>
                <w:sz w:val="20"/>
              </w:rPr>
              <w:t>=        den nominelle aktiekapital før udstedelsen af fondsaktier, og</w:t>
            </w:r>
          </w:p>
        </w:tc>
        <w:tc>
          <w:tcPr>
            <w:tcW w:w="90" w:type="dxa"/>
            <w:tcBorders/>
            <w:vAlign w:val="center"/>
          </w:tcPr>
          <w:p>
            <w:pPr>
              <w:pStyle w:val="TableContents"/>
              <w:bidi w:val="0"/>
              <w:spacing w:before="0" w:after="283"/>
              <w:jc w:val="both"/>
              <w:rPr/>
            </w:pPr>
            <w:r>
              <w:rPr/>
              <w:t> </w:t>
            </w:r>
          </w:p>
        </w:tc>
        <w:tc>
          <w:tcPr>
            <w:tcW w:w="295" w:type="dxa"/>
            <w:tcBorders/>
            <w:vAlign w:val="center"/>
          </w:tcPr>
          <w:p>
            <w:pPr>
              <w:pStyle w:val="TableContents"/>
              <w:bidi w:val="0"/>
              <w:spacing w:before="0" w:after="283"/>
              <w:jc w:val="both"/>
              <w:rPr>
                <w:sz w:val="20"/>
              </w:rPr>
            </w:pPr>
            <w:r>
              <w:rPr>
                <w:sz w:val="20"/>
              </w:rPr>
              <w:t>A</w:t>
            </w:r>
          </w:p>
        </w:tc>
        <w:tc>
          <w:tcPr>
            <w:tcW w:w="5131" w:type="dxa"/>
            <w:tcBorders/>
            <w:vAlign w:val="center"/>
          </w:tcPr>
          <w:p>
            <w:pPr>
              <w:pStyle w:val="TableContents"/>
              <w:bidi w:val="0"/>
              <w:spacing w:before="0" w:after="283"/>
              <w:jc w:val="both"/>
              <w:rPr>
                <w:sz w:val="20"/>
              </w:rPr>
            </w:pPr>
            <w:r>
              <w:rPr>
                <w:sz w:val="20"/>
              </w:rPr>
              <w:t>=         the nominal share capital before issue of treasury shares, and</w:t>
            </w:r>
          </w:p>
        </w:tc>
      </w:tr>
      <w:tr>
        <w:trPr/>
        <w:tc>
          <w:tcPr>
            <w:tcW w:w="365" w:type="dxa"/>
            <w:tcBorders/>
            <w:vAlign w:val="center"/>
          </w:tcPr>
          <w:p>
            <w:pPr>
              <w:pStyle w:val="TableContents"/>
              <w:bidi w:val="0"/>
              <w:spacing w:before="0" w:after="283"/>
              <w:jc w:val="both"/>
              <w:rPr/>
            </w:pPr>
            <w:r>
              <w:rPr/>
              <w:t> </w:t>
            </w:r>
          </w:p>
        </w:tc>
        <w:tc>
          <w:tcPr>
            <w:tcW w:w="238" w:type="dxa"/>
            <w:tcBorders/>
            <w:vAlign w:val="center"/>
          </w:tcPr>
          <w:p>
            <w:pPr>
              <w:pStyle w:val="TableContents"/>
              <w:bidi w:val="0"/>
              <w:spacing w:before="0" w:after="283"/>
              <w:jc w:val="both"/>
              <w:rPr>
                <w:sz w:val="20"/>
              </w:rPr>
            </w:pPr>
            <w:r>
              <w:rPr>
                <w:sz w:val="20"/>
              </w:rPr>
              <w:t>B</w:t>
            </w:r>
          </w:p>
        </w:tc>
        <w:tc>
          <w:tcPr>
            <w:tcW w:w="4086" w:type="dxa"/>
            <w:tcBorders/>
            <w:vAlign w:val="center"/>
          </w:tcPr>
          <w:p>
            <w:pPr>
              <w:pStyle w:val="TableContents"/>
              <w:bidi w:val="0"/>
              <w:spacing w:before="0" w:after="283"/>
              <w:jc w:val="both"/>
              <w:rPr>
                <w:sz w:val="20"/>
              </w:rPr>
            </w:pPr>
            <w:r>
              <w:rPr>
                <w:sz w:val="20"/>
              </w:rPr>
              <w:t>=         den samlede nominelle værdi på fondsaktierne.</w:t>
            </w:r>
          </w:p>
        </w:tc>
        <w:tc>
          <w:tcPr>
            <w:tcW w:w="90" w:type="dxa"/>
            <w:tcBorders/>
            <w:vAlign w:val="center"/>
          </w:tcPr>
          <w:p>
            <w:pPr>
              <w:pStyle w:val="TableContents"/>
              <w:bidi w:val="0"/>
              <w:spacing w:before="0" w:after="283"/>
              <w:jc w:val="both"/>
              <w:rPr/>
            </w:pPr>
            <w:r>
              <w:rPr/>
              <w:t> </w:t>
            </w:r>
          </w:p>
        </w:tc>
        <w:tc>
          <w:tcPr>
            <w:tcW w:w="295" w:type="dxa"/>
            <w:tcBorders/>
            <w:vAlign w:val="center"/>
          </w:tcPr>
          <w:p>
            <w:pPr>
              <w:pStyle w:val="TableContents"/>
              <w:bidi w:val="0"/>
              <w:spacing w:before="0" w:after="283"/>
              <w:jc w:val="both"/>
              <w:rPr>
                <w:sz w:val="20"/>
              </w:rPr>
            </w:pPr>
            <w:r>
              <w:rPr>
                <w:sz w:val="20"/>
              </w:rPr>
              <w:t>B</w:t>
            </w:r>
          </w:p>
        </w:tc>
        <w:tc>
          <w:tcPr>
            <w:tcW w:w="5131" w:type="dxa"/>
            <w:tcBorders/>
            <w:vAlign w:val="center"/>
          </w:tcPr>
          <w:p>
            <w:pPr>
              <w:pStyle w:val="TableContents"/>
              <w:bidi w:val="0"/>
              <w:spacing w:before="0" w:after="283"/>
              <w:jc w:val="both"/>
              <w:rPr>
                <w:sz w:val="20"/>
              </w:rPr>
            </w:pPr>
            <w:r>
              <w:rPr>
                <w:sz w:val="20"/>
              </w:rPr>
              <w:t>=         the total nominal value of treasury shares.</w:t>
            </w:r>
          </w:p>
        </w:tc>
      </w:tr>
      <w:tr>
        <w:trPr/>
        <w:tc>
          <w:tcPr>
            <w:tcW w:w="365" w:type="dxa"/>
            <w:tcBorders/>
            <w:vAlign w:val="center"/>
          </w:tcPr>
          <w:p>
            <w:pPr>
              <w:pStyle w:val="TableContents"/>
              <w:bidi w:val="0"/>
              <w:spacing w:before="0" w:after="283"/>
              <w:jc w:val="both"/>
              <w:rPr/>
            </w:pPr>
            <w:r>
              <w:rPr/>
              <w:t> </w:t>
            </w:r>
          </w:p>
        </w:tc>
        <w:tc>
          <w:tcPr>
            <w:tcW w:w="4324" w:type="dxa"/>
            <w:gridSpan w:val="2"/>
            <w:tcBorders/>
            <w:vAlign w:val="center"/>
          </w:tcPr>
          <w:p>
            <w:pPr>
              <w:pStyle w:val="TableContents"/>
              <w:bidi w:val="0"/>
              <w:spacing w:before="0" w:after="283"/>
              <w:jc w:val="both"/>
              <w:rPr>
                <w:sz w:val="20"/>
              </w:rPr>
            </w:pPr>
            <w:r>
              <w:rPr>
                <w:sz w:val="20"/>
              </w:rPr>
              <w:t>Hvis det justerede antal aktier ikke er et helt tal, skal der afrundes nedad til det nærmeste hele tal.</w:t>
            </w:r>
          </w:p>
        </w:tc>
        <w:tc>
          <w:tcPr>
            <w:tcW w:w="90" w:type="dxa"/>
            <w:tcBorders/>
            <w:vAlign w:val="center"/>
          </w:tcPr>
          <w:p>
            <w:pPr>
              <w:pStyle w:val="TableContents"/>
              <w:bidi w:val="0"/>
              <w:spacing w:before="0" w:after="283"/>
              <w:jc w:val="both"/>
              <w:rPr/>
            </w:pPr>
            <w:r>
              <w:rPr/>
              <w:t> </w:t>
            </w:r>
          </w:p>
        </w:tc>
        <w:tc>
          <w:tcPr>
            <w:tcW w:w="5426" w:type="dxa"/>
            <w:gridSpan w:val="2"/>
            <w:tcBorders/>
            <w:vAlign w:val="center"/>
          </w:tcPr>
          <w:p>
            <w:pPr>
              <w:pStyle w:val="TableContents"/>
              <w:bidi w:val="0"/>
              <w:spacing w:before="0" w:after="283"/>
              <w:jc w:val="both"/>
              <w:rPr>
                <w:sz w:val="20"/>
              </w:rPr>
            </w:pPr>
            <w:r>
              <w:rPr>
                <w:sz w:val="20"/>
              </w:rPr>
              <w:t>If the adjusted number of shares does not amount to a whole number, the number shall be rounded down to the nearest whole number.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1181100" cy="39624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81100" cy="396240"/>
                    </a:xfrm>
                    <a:prstGeom prst="rect">
                      <a:avLst/>
                    </a:prstGeom>
                  </pic:spPr>
                </pic:pic>
              </a:graphicData>
            </a:graphic>
          </wp:inline>
        </w:drawing>
      </w: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65"/>
        <w:gridCol w:w="230"/>
        <w:gridCol w:w="4533"/>
        <w:gridCol w:w="90"/>
        <w:gridCol w:w="225"/>
        <w:gridCol w:w="4762"/>
      </w:tblGrid>
      <w:tr>
        <w:trPr/>
        <w:tc>
          <w:tcPr>
            <w:tcW w:w="365" w:type="dxa"/>
            <w:tcBorders/>
            <w:vAlign w:val="center"/>
          </w:tcPr>
          <w:p>
            <w:pPr>
              <w:pStyle w:val="TableContents"/>
              <w:bidi w:val="0"/>
              <w:spacing w:before="0" w:after="283"/>
              <w:jc w:val="both"/>
              <w:rPr>
                <w:b/>
              </w:rPr>
            </w:pPr>
            <w:r>
              <w:rPr>
                <w:b/>
              </w:rPr>
              <w:t>5.4</w:t>
            </w:r>
          </w:p>
        </w:tc>
        <w:tc>
          <w:tcPr>
            <w:tcW w:w="4763" w:type="dxa"/>
            <w:gridSpan w:val="2"/>
            <w:tcBorders/>
            <w:vAlign w:val="center"/>
          </w:tcPr>
          <w:p>
            <w:pPr>
              <w:pStyle w:val="TableContents"/>
              <w:bidi w:val="0"/>
              <w:spacing w:before="0" w:after="283"/>
              <w:jc w:val="both"/>
              <w:rPr>
                <w:b/>
                <w:sz w:val="20"/>
              </w:rPr>
            </w:pPr>
            <w:r>
              <w:rPr>
                <w:b/>
                <w:sz w:val="20"/>
              </w:rPr>
              <w:t>Kapitalændringer til en anden kurs end markedskursen:</w:t>
            </w:r>
          </w:p>
        </w:tc>
        <w:tc>
          <w:tcPr>
            <w:tcW w:w="90" w:type="dxa"/>
            <w:tcBorders/>
            <w:vAlign w:val="center"/>
          </w:tcPr>
          <w:p>
            <w:pPr>
              <w:pStyle w:val="TableContents"/>
              <w:bidi w:val="0"/>
              <w:spacing w:before="0" w:after="283"/>
              <w:jc w:val="both"/>
              <w:rPr/>
            </w:pPr>
            <w:r>
              <w:rPr/>
              <w:t> </w:t>
            </w:r>
          </w:p>
        </w:tc>
        <w:tc>
          <w:tcPr>
            <w:tcW w:w="4987" w:type="dxa"/>
            <w:gridSpan w:val="2"/>
            <w:tcBorders/>
            <w:vAlign w:val="center"/>
          </w:tcPr>
          <w:p>
            <w:pPr>
              <w:pStyle w:val="TableContents"/>
              <w:bidi w:val="0"/>
              <w:spacing w:before="0" w:after="283"/>
              <w:jc w:val="both"/>
              <w:rPr>
                <w:b/>
                <w:sz w:val="20"/>
              </w:rPr>
            </w:pPr>
            <w:r>
              <w:rPr>
                <w:b/>
                <w:sz w:val="20"/>
              </w:rPr>
              <w:t>Changes of capital at a price different from the market price:</w:t>
            </w:r>
          </w:p>
        </w:tc>
      </w:tr>
      <w:tr>
        <w:trPr/>
        <w:tc>
          <w:tcPr>
            <w:tcW w:w="365" w:type="dxa"/>
            <w:tcBorders/>
            <w:vAlign w:val="center"/>
          </w:tcPr>
          <w:p>
            <w:pPr>
              <w:pStyle w:val="TableContents"/>
              <w:bidi w:val="0"/>
              <w:spacing w:before="0" w:after="283"/>
              <w:jc w:val="both"/>
              <w:rPr/>
            </w:pPr>
            <w:r>
              <w:rPr/>
              <w:t> </w:t>
            </w:r>
          </w:p>
        </w:tc>
        <w:tc>
          <w:tcPr>
            <w:tcW w:w="4763" w:type="dxa"/>
            <w:gridSpan w:val="2"/>
            <w:tcBorders/>
            <w:vAlign w:val="center"/>
          </w:tcPr>
          <w:p>
            <w:pPr>
              <w:pStyle w:val="TableContents"/>
              <w:bidi w:val="0"/>
              <w:spacing w:before="0" w:after="283"/>
              <w:jc w:val="both"/>
              <w:rPr>
                <w:sz w:val="20"/>
              </w:rPr>
            </w:pPr>
            <w:r>
              <w:rPr>
                <w:sz w:val="20"/>
              </w:rPr>
              <w:t>Hvis det besluttes at forhøje eller nedsætte aktiekapitalen i Selskabet til en kurs under markedskursen (vedrørende kapitalnedsættelser også til over markedskursen), eller nye warrants med en udnyttelsespris under markedskursen for Selskabets aktier (undtagen medarbejderincitaments programmer) skal Warrants justeres således:</w:t>
            </w:r>
          </w:p>
        </w:tc>
        <w:tc>
          <w:tcPr>
            <w:tcW w:w="90" w:type="dxa"/>
            <w:tcBorders/>
            <w:vAlign w:val="center"/>
          </w:tcPr>
          <w:p>
            <w:pPr>
              <w:pStyle w:val="TableContents"/>
              <w:bidi w:val="0"/>
              <w:spacing w:before="0" w:after="283"/>
              <w:jc w:val="both"/>
              <w:rPr/>
            </w:pPr>
            <w:r>
              <w:rPr/>
              <w:t> </w:t>
            </w:r>
          </w:p>
        </w:tc>
        <w:tc>
          <w:tcPr>
            <w:tcW w:w="4987" w:type="dxa"/>
            <w:gridSpan w:val="2"/>
            <w:tcBorders/>
            <w:vAlign w:val="center"/>
          </w:tcPr>
          <w:p>
            <w:pPr>
              <w:pStyle w:val="TableContents"/>
              <w:bidi w:val="0"/>
              <w:spacing w:before="0" w:after="283"/>
              <w:jc w:val="both"/>
              <w:rPr>
                <w:sz w:val="20"/>
              </w:rPr>
            </w:pPr>
            <w:r>
              <w:rPr>
                <w:sz w:val="20"/>
              </w:rPr>
              <w:t>If it is decided to increase or decrease the share capital in the Company at a price below the market price (in relation to capital decreases also above the market price), or if new warrants with an exercise price below market price of the Company’s shares are issued to third parties (not including warrant incentive programs) Warrants shall be adjusted as follows:</w:t>
            </w:r>
          </w:p>
        </w:tc>
      </w:tr>
      <w:tr>
        <w:trPr/>
        <w:tc>
          <w:tcPr>
            <w:tcW w:w="365" w:type="dxa"/>
            <w:tcBorders/>
            <w:vAlign w:val="center"/>
          </w:tcPr>
          <w:p>
            <w:pPr>
              <w:pStyle w:val="TableContents"/>
              <w:bidi w:val="0"/>
              <w:spacing w:before="0" w:after="283"/>
              <w:jc w:val="both"/>
              <w:rPr/>
            </w:pPr>
            <w:r>
              <w:rPr/>
              <w:t> </w:t>
            </w:r>
          </w:p>
        </w:tc>
        <w:tc>
          <w:tcPr>
            <w:tcW w:w="4763" w:type="dxa"/>
            <w:gridSpan w:val="2"/>
            <w:tcBorders/>
            <w:vAlign w:val="center"/>
          </w:tcPr>
          <w:p>
            <w:pPr>
              <w:pStyle w:val="TableContents"/>
              <w:bidi w:val="0"/>
              <w:spacing w:before="0" w:after="283"/>
              <w:jc w:val="both"/>
              <w:rPr>
                <w:sz w:val="20"/>
              </w:rPr>
            </w:pPr>
            <w:r>
              <w:rPr>
                <w:sz w:val="20"/>
              </w:rPr>
              <w:t>Udnyttelsesprisen på enhver endnu ikke udnyttet warrant ganges med faktoren:</w:t>
            </w:r>
          </w:p>
        </w:tc>
        <w:tc>
          <w:tcPr>
            <w:tcW w:w="90" w:type="dxa"/>
            <w:tcBorders/>
            <w:vAlign w:val="center"/>
          </w:tcPr>
          <w:p>
            <w:pPr>
              <w:pStyle w:val="TableContents"/>
              <w:bidi w:val="0"/>
              <w:spacing w:before="0" w:after="283"/>
              <w:jc w:val="both"/>
              <w:rPr/>
            </w:pPr>
            <w:r>
              <w:rPr/>
              <w:t> </w:t>
            </w:r>
          </w:p>
        </w:tc>
        <w:tc>
          <w:tcPr>
            <w:tcW w:w="4987" w:type="dxa"/>
            <w:gridSpan w:val="2"/>
            <w:tcBorders/>
            <w:vAlign w:val="center"/>
          </w:tcPr>
          <w:p>
            <w:pPr>
              <w:pStyle w:val="TableContents"/>
              <w:bidi w:val="0"/>
              <w:spacing w:before="0" w:after="283"/>
              <w:jc w:val="both"/>
              <w:rPr>
                <w:sz w:val="20"/>
              </w:rPr>
            </w:pPr>
            <w:r>
              <w:rPr>
                <w:sz w:val="20"/>
              </w:rPr>
              <w:t>The Exercise Price for each non-exercised Warrant shall be multiplied by the factor:</w:t>
            </w:r>
          </w:p>
        </w:tc>
      </w:tr>
      <w:tr>
        <w:trPr/>
        <w:tc>
          <w:tcPr>
            <w:tcW w:w="365" w:type="dxa"/>
            <w:tcBorders/>
            <w:vAlign w:val="center"/>
          </w:tcPr>
          <w:p>
            <w:pPr>
              <w:pStyle w:val="TableContents"/>
              <w:bidi w:val="0"/>
              <w:spacing w:before="0" w:after="283"/>
              <w:jc w:val="both"/>
              <w:rPr/>
            </w:pPr>
            <w:r>
              <w:rPr/>
              <w:t> </w:t>
            </w:r>
          </w:p>
        </w:tc>
        <w:tc>
          <w:tcPr>
            <w:tcW w:w="4763" w:type="dxa"/>
            <w:gridSpan w:val="2"/>
            <w:tcBorders/>
            <w:vAlign w:val="center"/>
          </w:tcPr>
          <w:p>
            <w:pPr>
              <w:pStyle w:val="TableContents"/>
              <w:bidi w:val="0"/>
              <w:spacing w:before="0" w:after="283"/>
              <w:jc w:val="center"/>
              <w:rPr/>
            </w:pPr>
            <w:r>
              <w:rPr/>
              <w:drawing>
                <wp:inline distT="0" distB="0" distL="0" distR="0">
                  <wp:extent cx="1054100" cy="2730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54100" cy="273050"/>
                          </a:xfrm>
                          <a:prstGeom prst="rect">
                            <a:avLst/>
                          </a:prstGeom>
                        </pic:spPr>
                      </pic:pic>
                    </a:graphicData>
                  </a:graphic>
                </wp:inline>
              </w:drawing>
            </w:r>
          </w:p>
        </w:tc>
        <w:tc>
          <w:tcPr>
            <w:tcW w:w="90" w:type="dxa"/>
            <w:tcBorders/>
            <w:vAlign w:val="center"/>
          </w:tcPr>
          <w:p>
            <w:pPr>
              <w:pStyle w:val="TableContents"/>
              <w:bidi w:val="0"/>
              <w:spacing w:before="0" w:after="283"/>
              <w:jc w:val="both"/>
              <w:rPr/>
            </w:pPr>
            <w:r>
              <w:rPr/>
              <w:t> </w:t>
            </w:r>
          </w:p>
        </w:tc>
        <w:tc>
          <w:tcPr>
            <w:tcW w:w="4987" w:type="dxa"/>
            <w:gridSpan w:val="2"/>
            <w:tcBorders/>
            <w:vAlign w:val="center"/>
          </w:tcPr>
          <w:p>
            <w:pPr>
              <w:pStyle w:val="TableContents"/>
              <w:bidi w:val="0"/>
              <w:spacing w:before="0" w:after="283"/>
              <w:jc w:val="center"/>
              <w:rPr/>
            </w:pPr>
            <w:r>
              <w:rPr/>
              <w:drawing>
                <wp:inline distT="0" distB="0" distL="0" distR="0">
                  <wp:extent cx="1054100" cy="2730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54100" cy="273050"/>
                          </a:xfrm>
                          <a:prstGeom prst="rect">
                            <a:avLst/>
                          </a:prstGeom>
                        </pic:spPr>
                      </pic:pic>
                    </a:graphicData>
                  </a:graphic>
                </wp:inline>
              </w:drawing>
            </w:r>
          </w:p>
        </w:tc>
      </w:tr>
      <w:tr>
        <w:trPr/>
        <w:tc>
          <w:tcPr>
            <w:tcW w:w="365" w:type="dxa"/>
            <w:tcBorders/>
            <w:vAlign w:val="center"/>
          </w:tcPr>
          <w:p>
            <w:pPr>
              <w:pStyle w:val="TableContents"/>
              <w:bidi w:val="0"/>
              <w:spacing w:before="0" w:after="283"/>
              <w:jc w:val="both"/>
              <w:rPr/>
            </w:pPr>
            <w:r>
              <w:rPr/>
              <w:t> </w:t>
            </w:r>
          </w:p>
        </w:tc>
        <w:tc>
          <w:tcPr>
            <w:tcW w:w="4763" w:type="dxa"/>
            <w:gridSpan w:val="2"/>
            <w:tcBorders/>
            <w:vAlign w:val="center"/>
          </w:tcPr>
          <w:p>
            <w:pPr>
              <w:pStyle w:val="TableContents"/>
              <w:bidi w:val="0"/>
              <w:spacing w:before="0" w:after="283"/>
              <w:jc w:val="both"/>
              <w:rPr>
                <w:sz w:val="20"/>
              </w:rPr>
            </w:pPr>
            <w:r>
              <w:rPr>
                <w:sz w:val="20"/>
              </w:rPr>
              <w:t>og antallet af endnu ikke udnyttede Warrants ganges med faktoren:</w:t>
            </w:r>
          </w:p>
        </w:tc>
        <w:tc>
          <w:tcPr>
            <w:tcW w:w="90" w:type="dxa"/>
            <w:tcBorders/>
            <w:vAlign w:val="center"/>
          </w:tcPr>
          <w:p>
            <w:pPr>
              <w:pStyle w:val="TableContents"/>
              <w:bidi w:val="0"/>
              <w:spacing w:before="0" w:after="283"/>
              <w:jc w:val="both"/>
              <w:rPr/>
            </w:pPr>
            <w:r>
              <w:rPr/>
              <w:t> </w:t>
            </w:r>
          </w:p>
        </w:tc>
        <w:tc>
          <w:tcPr>
            <w:tcW w:w="4987" w:type="dxa"/>
            <w:gridSpan w:val="2"/>
            <w:tcBorders/>
            <w:vAlign w:val="center"/>
          </w:tcPr>
          <w:p>
            <w:pPr>
              <w:pStyle w:val="TableContents"/>
              <w:bidi w:val="0"/>
              <w:spacing w:before="0" w:after="283"/>
              <w:jc w:val="both"/>
              <w:rPr>
                <w:sz w:val="20"/>
              </w:rPr>
            </w:pPr>
            <w:r>
              <w:rPr>
                <w:sz w:val="20"/>
              </w:rPr>
              <w:t>and the number of non-exercised Warrants shall be multiplied by the factor:</w:t>
            </w:r>
          </w:p>
        </w:tc>
      </w:tr>
      <w:tr>
        <w:trPr/>
        <w:tc>
          <w:tcPr>
            <w:tcW w:w="365" w:type="dxa"/>
            <w:tcBorders/>
            <w:vAlign w:val="center"/>
          </w:tcPr>
          <w:p>
            <w:pPr>
              <w:pStyle w:val="TableContents"/>
              <w:bidi w:val="0"/>
              <w:spacing w:before="0" w:after="283"/>
              <w:jc w:val="center"/>
              <w:rPr/>
            </w:pPr>
            <w:r>
              <w:rPr/>
              <w:t> </w:t>
            </w:r>
          </w:p>
        </w:tc>
        <w:tc>
          <w:tcPr>
            <w:tcW w:w="4763" w:type="dxa"/>
            <w:gridSpan w:val="2"/>
            <w:tcBorders/>
            <w:vAlign w:val="center"/>
          </w:tcPr>
          <w:p>
            <w:pPr>
              <w:pStyle w:val="TableContents"/>
              <w:bidi w:val="0"/>
              <w:spacing w:before="0" w:after="283"/>
              <w:jc w:val="center"/>
              <w:rPr/>
            </w:pPr>
            <w:r>
              <w:rPr/>
              <w:drawing>
                <wp:inline distT="0" distB="0" distL="0" distR="0">
                  <wp:extent cx="177800" cy="2730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77800" cy="273050"/>
                          </a:xfrm>
                          <a:prstGeom prst="rect">
                            <a:avLst/>
                          </a:prstGeom>
                        </pic:spPr>
                      </pic:pic>
                    </a:graphicData>
                  </a:graphic>
                </wp:inline>
              </w:drawing>
            </w:r>
          </w:p>
        </w:tc>
        <w:tc>
          <w:tcPr>
            <w:tcW w:w="90" w:type="dxa"/>
            <w:tcBorders/>
            <w:vAlign w:val="center"/>
          </w:tcPr>
          <w:p>
            <w:pPr>
              <w:pStyle w:val="TableContents"/>
              <w:bidi w:val="0"/>
              <w:spacing w:before="0" w:after="283"/>
              <w:jc w:val="center"/>
              <w:rPr/>
            </w:pPr>
            <w:r>
              <w:rPr/>
              <w:t> </w:t>
            </w:r>
          </w:p>
        </w:tc>
        <w:tc>
          <w:tcPr>
            <w:tcW w:w="4987" w:type="dxa"/>
            <w:gridSpan w:val="2"/>
            <w:tcBorders/>
            <w:vAlign w:val="center"/>
          </w:tcPr>
          <w:p>
            <w:pPr>
              <w:pStyle w:val="TableContents"/>
              <w:bidi w:val="0"/>
              <w:spacing w:before="0" w:after="283"/>
              <w:jc w:val="center"/>
              <w:rPr/>
            </w:pPr>
            <w:r>
              <w:rPr/>
              <w:drawing>
                <wp:inline distT="0" distB="0" distL="0" distR="0">
                  <wp:extent cx="177800" cy="2730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77800" cy="273050"/>
                          </a:xfrm>
                          <a:prstGeom prst="rect">
                            <a:avLst/>
                          </a:prstGeom>
                        </pic:spPr>
                      </pic:pic>
                    </a:graphicData>
                  </a:graphic>
                </wp:inline>
              </w:drawing>
            </w:r>
          </w:p>
        </w:tc>
      </w:tr>
      <w:tr>
        <w:trPr/>
        <w:tc>
          <w:tcPr>
            <w:tcW w:w="365" w:type="dxa"/>
            <w:tcBorders/>
            <w:vAlign w:val="center"/>
          </w:tcPr>
          <w:p>
            <w:pPr>
              <w:pStyle w:val="TableContents"/>
              <w:bidi w:val="0"/>
              <w:spacing w:before="0" w:after="283"/>
              <w:jc w:val="both"/>
              <w:rPr/>
            </w:pPr>
            <w:r>
              <w:rPr/>
              <w:t> </w:t>
            </w:r>
          </w:p>
        </w:tc>
        <w:tc>
          <w:tcPr>
            <w:tcW w:w="4763" w:type="dxa"/>
            <w:gridSpan w:val="2"/>
            <w:tcBorders/>
            <w:vAlign w:val="center"/>
          </w:tcPr>
          <w:p>
            <w:pPr>
              <w:pStyle w:val="TableContents"/>
              <w:bidi w:val="0"/>
              <w:spacing w:before="0" w:after="283"/>
              <w:jc w:val="both"/>
              <w:rPr>
                <w:sz w:val="20"/>
              </w:rPr>
            </w:pPr>
            <w:r>
              <w:rPr>
                <w:sz w:val="20"/>
              </w:rPr>
              <w:t>hvor:</w:t>
            </w:r>
          </w:p>
        </w:tc>
        <w:tc>
          <w:tcPr>
            <w:tcW w:w="90" w:type="dxa"/>
            <w:tcBorders/>
            <w:vAlign w:val="center"/>
          </w:tcPr>
          <w:p>
            <w:pPr>
              <w:pStyle w:val="TableContents"/>
              <w:bidi w:val="0"/>
              <w:spacing w:before="0" w:after="283"/>
              <w:jc w:val="both"/>
              <w:rPr/>
            </w:pPr>
            <w:r>
              <w:rPr/>
              <w:t> </w:t>
            </w:r>
          </w:p>
        </w:tc>
        <w:tc>
          <w:tcPr>
            <w:tcW w:w="4987" w:type="dxa"/>
            <w:gridSpan w:val="2"/>
            <w:tcBorders/>
            <w:vAlign w:val="center"/>
          </w:tcPr>
          <w:p>
            <w:pPr>
              <w:pStyle w:val="TableContents"/>
              <w:bidi w:val="0"/>
              <w:spacing w:before="0" w:after="283"/>
              <w:jc w:val="both"/>
              <w:rPr>
                <w:sz w:val="20"/>
              </w:rPr>
            </w:pPr>
            <w:r>
              <w:rPr>
                <w:sz w:val="20"/>
              </w:rPr>
              <w:t>where:</w:t>
            </w:r>
          </w:p>
        </w:tc>
      </w:tr>
      <w:tr>
        <w:trPr/>
        <w:tc>
          <w:tcPr>
            <w:tcW w:w="36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ind w:left="0" w:right="0" w:hanging="540"/>
              <w:jc w:val="both"/>
              <w:rPr>
                <w:sz w:val="20"/>
              </w:rPr>
            </w:pPr>
            <w:r>
              <w:rPr>
                <w:sz w:val="20"/>
              </w:rPr>
              <w:t>A</w:t>
            </w:r>
          </w:p>
        </w:tc>
        <w:tc>
          <w:tcPr>
            <w:tcW w:w="4533" w:type="dxa"/>
            <w:tcBorders/>
            <w:vAlign w:val="center"/>
          </w:tcPr>
          <w:p>
            <w:pPr>
              <w:pStyle w:val="TableContents"/>
              <w:bidi w:val="0"/>
              <w:spacing w:before="0" w:after="283"/>
              <w:jc w:val="both"/>
              <w:rPr>
                <w:sz w:val="20"/>
              </w:rPr>
            </w:pPr>
            <w:r>
              <w:rPr>
                <w:sz w:val="20"/>
              </w:rPr>
              <w:t>=          den nominelle aktiekapital før ændringen i kapitalen</w:t>
            </w:r>
          </w:p>
        </w:tc>
        <w:tc>
          <w:tcPr>
            <w:tcW w:w="90" w:type="dxa"/>
            <w:tcBorders/>
            <w:vAlign w:val="center"/>
          </w:tcPr>
          <w:p>
            <w:pPr>
              <w:pStyle w:val="TableContents"/>
              <w:bidi w:val="0"/>
              <w:spacing w:before="0" w:after="283"/>
              <w:jc w:val="both"/>
              <w:rPr/>
            </w:pPr>
            <w:r>
              <w:rPr/>
              <w:t> </w:t>
            </w:r>
          </w:p>
        </w:tc>
        <w:tc>
          <w:tcPr>
            <w:tcW w:w="225" w:type="dxa"/>
            <w:tcBorders/>
            <w:vAlign w:val="center"/>
          </w:tcPr>
          <w:p>
            <w:pPr>
              <w:pStyle w:val="TableContents"/>
              <w:bidi w:val="0"/>
              <w:spacing w:before="0" w:after="283"/>
              <w:jc w:val="both"/>
              <w:rPr>
                <w:sz w:val="20"/>
              </w:rPr>
            </w:pPr>
            <w:r>
              <w:rPr>
                <w:sz w:val="20"/>
              </w:rPr>
              <w:t>A</w:t>
            </w:r>
          </w:p>
        </w:tc>
        <w:tc>
          <w:tcPr>
            <w:tcW w:w="4762" w:type="dxa"/>
            <w:tcBorders/>
            <w:vAlign w:val="center"/>
          </w:tcPr>
          <w:p>
            <w:pPr>
              <w:pStyle w:val="TableContents"/>
              <w:bidi w:val="0"/>
              <w:spacing w:before="0" w:after="283"/>
              <w:jc w:val="both"/>
              <w:rPr>
                <w:sz w:val="20"/>
              </w:rPr>
            </w:pPr>
            <w:r>
              <w:rPr>
                <w:sz w:val="20"/>
              </w:rPr>
              <w:t>=          nominal share capital before the change in capital</w:t>
            </w:r>
          </w:p>
        </w:tc>
      </w:tr>
      <w:tr>
        <w:trPr/>
        <w:tc>
          <w:tcPr>
            <w:tcW w:w="36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sz w:val="20"/>
              </w:rPr>
            </w:pPr>
            <w:r>
              <w:rPr>
                <w:sz w:val="20"/>
              </w:rPr>
              <w:t>B</w:t>
            </w:r>
          </w:p>
        </w:tc>
        <w:tc>
          <w:tcPr>
            <w:tcW w:w="4533" w:type="dxa"/>
            <w:tcBorders/>
            <w:vAlign w:val="center"/>
          </w:tcPr>
          <w:p>
            <w:pPr>
              <w:pStyle w:val="TableContents"/>
              <w:bidi w:val="0"/>
              <w:spacing w:before="0" w:after="283"/>
              <w:jc w:val="both"/>
              <w:rPr>
                <w:sz w:val="20"/>
              </w:rPr>
            </w:pPr>
            <w:r>
              <w:rPr>
                <w:sz w:val="20"/>
              </w:rPr>
              <w:t>=          den nominelle ændring i aktie-kapitalen</w:t>
            </w:r>
          </w:p>
        </w:tc>
        <w:tc>
          <w:tcPr>
            <w:tcW w:w="90" w:type="dxa"/>
            <w:tcBorders/>
            <w:vAlign w:val="center"/>
          </w:tcPr>
          <w:p>
            <w:pPr>
              <w:pStyle w:val="TableContents"/>
              <w:bidi w:val="0"/>
              <w:spacing w:before="0" w:after="283"/>
              <w:jc w:val="both"/>
              <w:rPr/>
            </w:pPr>
            <w:r>
              <w:rPr/>
              <w:t> </w:t>
            </w:r>
          </w:p>
        </w:tc>
        <w:tc>
          <w:tcPr>
            <w:tcW w:w="225" w:type="dxa"/>
            <w:tcBorders/>
            <w:vAlign w:val="center"/>
          </w:tcPr>
          <w:p>
            <w:pPr>
              <w:pStyle w:val="TableContents"/>
              <w:bidi w:val="0"/>
              <w:spacing w:before="0" w:after="283"/>
              <w:jc w:val="both"/>
              <w:rPr>
                <w:sz w:val="20"/>
              </w:rPr>
            </w:pPr>
            <w:r>
              <w:rPr>
                <w:sz w:val="20"/>
              </w:rPr>
              <w:t>B</w:t>
            </w:r>
          </w:p>
        </w:tc>
        <w:tc>
          <w:tcPr>
            <w:tcW w:w="4762" w:type="dxa"/>
            <w:tcBorders/>
            <w:vAlign w:val="center"/>
          </w:tcPr>
          <w:p>
            <w:pPr>
              <w:pStyle w:val="TableContents"/>
              <w:bidi w:val="0"/>
              <w:spacing w:before="0" w:after="283"/>
              <w:jc w:val="both"/>
              <w:rPr>
                <w:sz w:val="20"/>
              </w:rPr>
            </w:pPr>
            <w:r>
              <w:rPr>
                <w:sz w:val="20"/>
              </w:rPr>
              <w:t>=          nominal change in the share capital</w:t>
            </w:r>
          </w:p>
        </w:tc>
      </w:tr>
      <w:tr>
        <w:trPr/>
        <w:tc>
          <w:tcPr>
            <w:tcW w:w="36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ind w:left="0" w:right="0" w:hanging="540"/>
              <w:jc w:val="both"/>
              <w:rPr>
                <w:sz w:val="20"/>
              </w:rPr>
            </w:pPr>
            <w:r>
              <w:rPr>
                <w:sz w:val="20"/>
              </w:rPr>
              <w:t>K</w:t>
            </w:r>
          </w:p>
        </w:tc>
        <w:tc>
          <w:tcPr>
            <w:tcW w:w="4533" w:type="dxa"/>
            <w:tcBorders/>
            <w:vAlign w:val="center"/>
          </w:tcPr>
          <w:p>
            <w:pPr>
              <w:pStyle w:val="TableContents"/>
              <w:bidi w:val="0"/>
              <w:spacing w:before="0" w:after="283"/>
              <w:jc w:val="both"/>
              <w:rPr>
                <w:sz w:val="20"/>
              </w:rPr>
            </w:pPr>
            <w:r>
              <w:rPr>
                <w:sz w:val="20"/>
              </w:rPr>
              <w:t>=       aktiens markedskurs / lukkekurs dagen forinden annoncering af ændringen i aktiekapitalen, og</w:t>
            </w:r>
          </w:p>
        </w:tc>
        <w:tc>
          <w:tcPr>
            <w:tcW w:w="90" w:type="dxa"/>
            <w:tcBorders/>
            <w:vAlign w:val="center"/>
          </w:tcPr>
          <w:p>
            <w:pPr>
              <w:pStyle w:val="TableContents"/>
              <w:bidi w:val="0"/>
              <w:spacing w:before="0" w:after="283"/>
              <w:jc w:val="both"/>
              <w:rPr/>
            </w:pPr>
            <w:r>
              <w:rPr/>
              <w:t> </w:t>
            </w:r>
          </w:p>
        </w:tc>
        <w:tc>
          <w:tcPr>
            <w:tcW w:w="225" w:type="dxa"/>
            <w:tcBorders/>
            <w:vAlign w:val="center"/>
          </w:tcPr>
          <w:p>
            <w:pPr>
              <w:pStyle w:val="TableContents"/>
              <w:bidi w:val="0"/>
              <w:spacing w:before="0" w:after="283"/>
              <w:ind w:left="0" w:right="0" w:hanging="540"/>
              <w:jc w:val="both"/>
              <w:rPr>
                <w:sz w:val="20"/>
              </w:rPr>
            </w:pPr>
            <w:r>
              <w:rPr>
                <w:sz w:val="20"/>
              </w:rPr>
              <w:t>K</w:t>
            </w:r>
          </w:p>
        </w:tc>
        <w:tc>
          <w:tcPr>
            <w:tcW w:w="4762" w:type="dxa"/>
            <w:tcBorders/>
            <w:vAlign w:val="center"/>
          </w:tcPr>
          <w:p>
            <w:pPr>
              <w:pStyle w:val="TableContents"/>
              <w:bidi w:val="0"/>
              <w:spacing w:before="0" w:after="283"/>
              <w:jc w:val="both"/>
              <w:rPr>
                <w:sz w:val="20"/>
              </w:rPr>
            </w:pPr>
            <w:r>
              <w:rPr>
                <w:sz w:val="20"/>
              </w:rPr>
              <w:t>=          market price / closing price of the share on the day prior to the announcement of the change in the share capital, and</w:t>
            </w:r>
          </w:p>
        </w:tc>
      </w:tr>
      <w:tr>
        <w:trPr/>
        <w:tc>
          <w:tcPr>
            <w:tcW w:w="36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ind w:left="0" w:right="0" w:hanging="540"/>
              <w:jc w:val="both"/>
              <w:rPr>
                <w:sz w:val="20"/>
              </w:rPr>
            </w:pPr>
            <w:r>
              <w:rPr>
                <w:sz w:val="20"/>
              </w:rPr>
              <w:t>T</w:t>
            </w:r>
          </w:p>
        </w:tc>
        <w:tc>
          <w:tcPr>
            <w:tcW w:w="4533" w:type="dxa"/>
            <w:tcBorders/>
            <w:vAlign w:val="center"/>
          </w:tcPr>
          <w:p>
            <w:pPr>
              <w:pStyle w:val="TableContents"/>
              <w:bidi w:val="0"/>
              <w:spacing w:before="0" w:after="283"/>
              <w:jc w:val="both"/>
              <w:rPr>
                <w:sz w:val="20"/>
              </w:rPr>
            </w:pPr>
            <w:r>
              <w:rPr>
                <w:sz w:val="20"/>
              </w:rPr>
              <w:t>=      tegningskurs/nedsættelseskurs ved ændringen i aktiekapitalen</w:t>
            </w:r>
          </w:p>
        </w:tc>
        <w:tc>
          <w:tcPr>
            <w:tcW w:w="90" w:type="dxa"/>
            <w:tcBorders/>
            <w:vAlign w:val="center"/>
          </w:tcPr>
          <w:p>
            <w:pPr>
              <w:pStyle w:val="TableContents"/>
              <w:bidi w:val="0"/>
              <w:spacing w:before="0" w:after="283"/>
              <w:jc w:val="both"/>
              <w:rPr/>
            </w:pPr>
            <w:r>
              <w:rPr/>
              <w:t> </w:t>
            </w:r>
          </w:p>
        </w:tc>
        <w:tc>
          <w:tcPr>
            <w:tcW w:w="225" w:type="dxa"/>
            <w:tcBorders/>
            <w:vAlign w:val="center"/>
          </w:tcPr>
          <w:p>
            <w:pPr>
              <w:pStyle w:val="TableContents"/>
              <w:bidi w:val="0"/>
              <w:spacing w:before="0" w:after="283"/>
              <w:ind w:left="0" w:right="0" w:hanging="540"/>
              <w:jc w:val="both"/>
              <w:rPr>
                <w:sz w:val="20"/>
              </w:rPr>
            </w:pPr>
            <w:r>
              <w:rPr>
                <w:sz w:val="20"/>
              </w:rPr>
              <w:t>T</w:t>
            </w:r>
          </w:p>
        </w:tc>
        <w:tc>
          <w:tcPr>
            <w:tcW w:w="4762" w:type="dxa"/>
            <w:tcBorders/>
            <w:vAlign w:val="center"/>
          </w:tcPr>
          <w:p>
            <w:pPr>
              <w:pStyle w:val="TableContents"/>
              <w:bidi w:val="0"/>
              <w:spacing w:before="0" w:after="283"/>
              <w:jc w:val="both"/>
              <w:rPr>
                <w:sz w:val="20"/>
              </w:rPr>
            </w:pPr>
            <w:r>
              <w:rPr>
                <w:sz w:val="20"/>
              </w:rPr>
              <w:t>=         subscription price/reduction price in relation to the change in the share capital</w:t>
            </w:r>
          </w:p>
        </w:tc>
      </w:tr>
      <w:tr>
        <w:trPr/>
        <w:tc>
          <w:tcPr>
            <w:tcW w:w="365" w:type="dxa"/>
            <w:tcBorders/>
            <w:vAlign w:val="center"/>
          </w:tcPr>
          <w:p>
            <w:pPr>
              <w:pStyle w:val="TableContents"/>
              <w:bidi w:val="0"/>
              <w:spacing w:before="0" w:after="283"/>
              <w:jc w:val="both"/>
              <w:rPr/>
            </w:pPr>
            <w:r>
              <w:rPr/>
              <w:t> </w:t>
            </w:r>
          </w:p>
        </w:tc>
        <w:tc>
          <w:tcPr>
            <w:tcW w:w="4763" w:type="dxa"/>
            <w:gridSpan w:val="2"/>
            <w:tcBorders/>
            <w:vAlign w:val="center"/>
          </w:tcPr>
          <w:p>
            <w:pPr>
              <w:pStyle w:val="TableContents"/>
              <w:bidi w:val="0"/>
              <w:spacing w:before="0" w:after="283"/>
              <w:jc w:val="both"/>
              <w:rPr>
                <w:sz w:val="20"/>
              </w:rPr>
            </w:pPr>
            <w:r>
              <w:rPr>
                <w:sz w:val="20"/>
              </w:rPr>
              <w:t>Hvis det det justerede antal aktier ikke er et helt tal, skal der afrundes nedad til det nærmeste hele tal. Der skal uanset ovenstående ikke ske regulering af Warrants, såfremt Selskabet gennemfører rettede emissioner på markedsvilkår uanset at der i den forbindelse sker tegning til under den noterede kurs.</w:t>
            </w:r>
          </w:p>
        </w:tc>
        <w:tc>
          <w:tcPr>
            <w:tcW w:w="90" w:type="dxa"/>
            <w:tcBorders/>
            <w:vAlign w:val="center"/>
          </w:tcPr>
          <w:p>
            <w:pPr>
              <w:pStyle w:val="TableContents"/>
              <w:bidi w:val="0"/>
              <w:spacing w:before="0" w:after="283"/>
              <w:jc w:val="both"/>
              <w:rPr/>
            </w:pPr>
            <w:r>
              <w:rPr/>
              <w:t> </w:t>
            </w:r>
          </w:p>
        </w:tc>
        <w:tc>
          <w:tcPr>
            <w:tcW w:w="4987" w:type="dxa"/>
            <w:gridSpan w:val="2"/>
            <w:tcBorders/>
            <w:vAlign w:val="center"/>
          </w:tcPr>
          <w:p>
            <w:pPr>
              <w:pStyle w:val="TableContents"/>
              <w:bidi w:val="0"/>
              <w:spacing w:before="0" w:after="283"/>
              <w:jc w:val="both"/>
              <w:rPr>
                <w:sz w:val="20"/>
              </w:rPr>
            </w:pPr>
            <w:r>
              <w:rPr>
                <w:sz w:val="20"/>
              </w:rPr>
              <w:t>If the adjusted number of shares does not amount to whole numbers, each number shall be rounded down to the nearest whole number. Irrespective of the above no regulation shall take place to the extent that the Company carries out directed issuances of securities on market terms irrespective of whether shares in connection therewith are subscribed below the listed price.</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1181100" cy="39624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81100" cy="396240"/>
                    </a:xfrm>
                    <a:prstGeom prst="rect">
                      <a:avLst/>
                    </a:prstGeom>
                  </pic:spPr>
                </pic:pic>
              </a:graphicData>
            </a:graphic>
          </wp:inline>
        </w:drawing>
      </w: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65"/>
        <w:gridCol w:w="400"/>
        <w:gridCol w:w="3871"/>
        <w:gridCol w:w="90"/>
        <w:gridCol w:w="375"/>
        <w:gridCol w:w="5104"/>
      </w:tblGrid>
      <w:tr>
        <w:trPr/>
        <w:tc>
          <w:tcPr>
            <w:tcW w:w="365" w:type="dxa"/>
            <w:tcBorders/>
            <w:vAlign w:val="center"/>
          </w:tcPr>
          <w:p>
            <w:pPr>
              <w:pStyle w:val="TableContents"/>
              <w:bidi w:val="0"/>
              <w:spacing w:before="0" w:after="283"/>
              <w:jc w:val="both"/>
              <w:rPr>
                <w:b/>
              </w:rPr>
            </w:pPr>
            <w:r>
              <w:rPr>
                <w:b/>
              </w:rPr>
              <w:t>5.5</w:t>
            </w:r>
          </w:p>
        </w:tc>
        <w:tc>
          <w:tcPr>
            <w:tcW w:w="4271"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Ændringer i den enkelte akties pålydende værdi:</w:t>
            </w:r>
          </w:p>
        </w:tc>
        <w:tc>
          <w:tcPr>
            <w:tcW w:w="90" w:type="dxa"/>
            <w:tcBorders/>
            <w:vAlign w:val="center"/>
          </w:tcPr>
          <w:p>
            <w:pPr>
              <w:pStyle w:val="TableContents"/>
              <w:bidi w:val="0"/>
              <w:spacing w:before="0" w:after="283"/>
              <w:jc w:val="both"/>
              <w:rPr/>
            </w:pPr>
            <w:r>
              <w:rPr/>
              <w:t> </w:t>
            </w:r>
          </w:p>
        </w:tc>
        <w:tc>
          <w:tcPr>
            <w:tcW w:w="5479"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Changes in the nominal value of each individual share:</w:t>
            </w:r>
          </w:p>
        </w:tc>
      </w:tr>
      <w:tr>
        <w:trPr/>
        <w:tc>
          <w:tcPr>
            <w:tcW w:w="365" w:type="dxa"/>
            <w:tcBorders/>
            <w:vAlign w:val="center"/>
          </w:tcPr>
          <w:p>
            <w:pPr>
              <w:pStyle w:val="TableContents"/>
              <w:bidi w:val="0"/>
              <w:spacing w:before="0" w:after="283"/>
              <w:jc w:val="both"/>
              <w:rPr/>
            </w:pPr>
            <w:r>
              <w:rPr/>
              <w:t> </w:t>
            </w:r>
          </w:p>
        </w:tc>
        <w:tc>
          <w:tcPr>
            <w:tcW w:w="4271"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Hvis det besluttes at ændre aktiernes pålydende værdi, skal Warrants justeres således:</w:t>
            </w:r>
          </w:p>
        </w:tc>
        <w:tc>
          <w:tcPr>
            <w:tcW w:w="90" w:type="dxa"/>
            <w:tcBorders/>
            <w:vAlign w:val="center"/>
          </w:tcPr>
          <w:p>
            <w:pPr>
              <w:pStyle w:val="TableContents"/>
              <w:bidi w:val="0"/>
              <w:spacing w:before="0" w:after="283"/>
              <w:jc w:val="both"/>
              <w:rPr/>
            </w:pPr>
            <w:r>
              <w:rPr/>
              <w:t> </w:t>
            </w:r>
          </w:p>
        </w:tc>
        <w:tc>
          <w:tcPr>
            <w:tcW w:w="5479"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it is decided to change the nominal value of the shares, Warrants shall be adjusted as follows:</w:t>
            </w:r>
          </w:p>
        </w:tc>
      </w:tr>
      <w:tr>
        <w:trPr/>
        <w:tc>
          <w:tcPr>
            <w:tcW w:w="365" w:type="dxa"/>
            <w:tcBorders/>
            <w:vAlign w:val="center"/>
          </w:tcPr>
          <w:p>
            <w:pPr>
              <w:pStyle w:val="TableContents"/>
              <w:bidi w:val="0"/>
              <w:spacing w:before="0" w:after="283"/>
              <w:jc w:val="both"/>
              <w:rPr/>
            </w:pPr>
            <w:r>
              <w:rPr/>
              <w:t> </w:t>
            </w:r>
          </w:p>
        </w:tc>
        <w:tc>
          <w:tcPr>
            <w:tcW w:w="4271"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Udnyttelsesprisen på enhver endnu ikke udnyttet Warrant ganges med faktoren:</w:t>
            </w:r>
          </w:p>
        </w:tc>
        <w:tc>
          <w:tcPr>
            <w:tcW w:w="90" w:type="dxa"/>
            <w:tcBorders/>
            <w:vAlign w:val="center"/>
          </w:tcPr>
          <w:p>
            <w:pPr>
              <w:pStyle w:val="TableContents"/>
              <w:bidi w:val="0"/>
              <w:spacing w:before="0" w:after="283"/>
              <w:jc w:val="both"/>
              <w:rPr/>
            </w:pPr>
            <w:r>
              <w:rPr/>
              <w:t> </w:t>
            </w:r>
          </w:p>
        </w:tc>
        <w:tc>
          <w:tcPr>
            <w:tcW w:w="5479"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Exercise Price for each non-exercised Warrant shall be multiplied by the factor:</w:t>
            </w:r>
          </w:p>
        </w:tc>
      </w:tr>
      <w:tr>
        <w:trPr/>
        <w:tc>
          <w:tcPr>
            <w:tcW w:w="365" w:type="dxa"/>
            <w:tcBorders/>
            <w:vAlign w:val="center"/>
          </w:tcPr>
          <w:p>
            <w:pPr>
              <w:pStyle w:val="TableContents"/>
              <w:bidi w:val="0"/>
              <w:spacing w:before="0" w:after="283"/>
              <w:jc w:val="both"/>
              <w:rPr/>
            </w:pPr>
            <w:r>
              <w:rPr/>
              <w:t> </w:t>
            </w:r>
          </w:p>
        </w:tc>
        <w:tc>
          <w:tcPr>
            <w:tcW w:w="4271" w:type="dxa"/>
            <w:gridSpan w:val="2"/>
            <w:tcBorders/>
            <w:vAlign w:val="center"/>
          </w:tcPr>
          <w:p>
            <w:pPr>
              <w:pStyle w:val="TableContents"/>
              <w:bidi w:val="0"/>
              <w:spacing w:before="0" w:after="283"/>
              <w:jc w:val="center"/>
              <w:rPr/>
            </w:pPr>
            <w:r>
              <w:rPr/>
              <w:drawing>
                <wp:inline distT="0" distB="0" distL="0" distR="0">
                  <wp:extent cx="711200" cy="2921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11200" cy="292100"/>
                          </a:xfrm>
                          <a:prstGeom prst="rect">
                            <a:avLst/>
                          </a:prstGeom>
                        </pic:spPr>
                      </pic:pic>
                    </a:graphicData>
                  </a:graphic>
                </wp:inline>
              </w:drawing>
            </w:r>
          </w:p>
        </w:tc>
        <w:tc>
          <w:tcPr>
            <w:tcW w:w="90" w:type="dxa"/>
            <w:tcBorders/>
            <w:vAlign w:val="center"/>
          </w:tcPr>
          <w:p>
            <w:pPr>
              <w:pStyle w:val="TableContents"/>
              <w:bidi w:val="0"/>
              <w:spacing w:before="0" w:after="283"/>
              <w:jc w:val="both"/>
              <w:rPr/>
            </w:pPr>
            <w:r>
              <w:rPr/>
              <w:t> </w:t>
            </w:r>
          </w:p>
        </w:tc>
        <w:tc>
          <w:tcPr>
            <w:tcW w:w="5479" w:type="dxa"/>
            <w:gridSpan w:val="2"/>
            <w:tcBorders/>
            <w:vAlign w:val="center"/>
          </w:tcPr>
          <w:p>
            <w:pPr>
              <w:pStyle w:val="TableContents"/>
              <w:bidi w:val="0"/>
              <w:spacing w:before="0" w:after="283"/>
              <w:jc w:val="center"/>
              <w:rPr/>
            </w:pPr>
            <w:r>
              <w:rPr/>
              <w:drawing>
                <wp:inline distT="0" distB="0" distL="0" distR="0">
                  <wp:extent cx="711200" cy="2921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11200" cy="292100"/>
                          </a:xfrm>
                          <a:prstGeom prst="rect">
                            <a:avLst/>
                          </a:prstGeom>
                        </pic:spPr>
                      </pic:pic>
                    </a:graphicData>
                  </a:graphic>
                </wp:inline>
              </w:drawing>
            </w:r>
          </w:p>
        </w:tc>
      </w:tr>
      <w:tr>
        <w:trPr/>
        <w:tc>
          <w:tcPr>
            <w:tcW w:w="365" w:type="dxa"/>
            <w:tcBorders/>
            <w:vAlign w:val="center"/>
          </w:tcPr>
          <w:p>
            <w:pPr>
              <w:pStyle w:val="TableContents"/>
              <w:bidi w:val="0"/>
              <w:spacing w:before="0" w:after="283"/>
              <w:jc w:val="both"/>
              <w:rPr/>
            </w:pPr>
            <w:r>
              <w:rPr/>
              <w:t> </w:t>
            </w:r>
          </w:p>
        </w:tc>
        <w:tc>
          <w:tcPr>
            <w:tcW w:w="4271"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og antallet af endnu ikke udnyttede warrants ganges med faktoren:</w:t>
            </w:r>
          </w:p>
        </w:tc>
        <w:tc>
          <w:tcPr>
            <w:tcW w:w="90" w:type="dxa"/>
            <w:tcBorders/>
            <w:vAlign w:val="center"/>
          </w:tcPr>
          <w:p>
            <w:pPr>
              <w:pStyle w:val="TableContents"/>
              <w:bidi w:val="0"/>
              <w:spacing w:before="0" w:after="283"/>
              <w:jc w:val="both"/>
              <w:rPr/>
            </w:pPr>
            <w:r>
              <w:rPr/>
              <w:t> </w:t>
            </w:r>
          </w:p>
        </w:tc>
        <w:tc>
          <w:tcPr>
            <w:tcW w:w="5479"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and the number of non-exercised Warrants shall be multiplied by the factor:</w:t>
            </w:r>
          </w:p>
        </w:tc>
      </w:tr>
      <w:tr>
        <w:trPr/>
        <w:tc>
          <w:tcPr>
            <w:tcW w:w="365" w:type="dxa"/>
            <w:tcBorders/>
            <w:vAlign w:val="center"/>
          </w:tcPr>
          <w:p>
            <w:pPr>
              <w:pStyle w:val="TableContents"/>
              <w:bidi w:val="0"/>
              <w:spacing w:before="0" w:after="283"/>
              <w:jc w:val="both"/>
              <w:rPr/>
            </w:pPr>
            <w:r>
              <w:rPr/>
              <w:t> </w:t>
            </w:r>
          </w:p>
        </w:tc>
        <w:tc>
          <w:tcPr>
            <w:tcW w:w="4271" w:type="dxa"/>
            <w:gridSpan w:val="2"/>
            <w:tcBorders/>
            <w:vAlign w:val="center"/>
          </w:tcPr>
          <w:p>
            <w:pPr>
              <w:pStyle w:val="TableContents"/>
              <w:bidi w:val="0"/>
              <w:spacing w:before="0" w:after="283"/>
              <w:jc w:val="center"/>
              <w:rPr/>
            </w:pPr>
            <w:r>
              <w:rPr/>
              <w:drawing>
                <wp:inline distT="0" distB="0" distL="0" distR="0">
                  <wp:extent cx="177800" cy="2730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77800" cy="273050"/>
                          </a:xfrm>
                          <a:prstGeom prst="rect">
                            <a:avLst/>
                          </a:prstGeom>
                        </pic:spPr>
                      </pic:pic>
                    </a:graphicData>
                  </a:graphic>
                </wp:inline>
              </w:drawing>
            </w:r>
          </w:p>
        </w:tc>
        <w:tc>
          <w:tcPr>
            <w:tcW w:w="90" w:type="dxa"/>
            <w:tcBorders/>
            <w:vAlign w:val="center"/>
          </w:tcPr>
          <w:p>
            <w:pPr>
              <w:pStyle w:val="TableContents"/>
              <w:bidi w:val="0"/>
              <w:spacing w:before="0" w:after="283"/>
              <w:jc w:val="both"/>
              <w:rPr/>
            </w:pPr>
            <w:r>
              <w:rPr/>
              <w:t> </w:t>
            </w:r>
          </w:p>
        </w:tc>
        <w:tc>
          <w:tcPr>
            <w:tcW w:w="5479" w:type="dxa"/>
            <w:gridSpan w:val="2"/>
            <w:tcBorders/>
            <w:vAlign w:val="center"/>
          </w:tcPr>
          <w:p>
            <w:pPr>
              <w:pStyle w:val="TableContents"/>
              <w:bidi w:val="0"/>
              <w:spacing w:before="0" w:after="283"/>
              <w:jc w:val="center"/>
              <w:rPr/>
            </w:pPr>
            <w:r>
              <w:rPr/>
              <w:drawing>
                <wp:inline distT="0" distB="0" distL="0" distR="0">
                  <wp:extent cx="177800" cy="2730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77800" cy="273050"/>
                          </a:xfrm>
                          <a:prstGeom prst="rect">
                            <a:avLst/>
                          </a:prstGeom>
                        </pic:spPr>
                      </pic:pic>
                    </a:graphicData>
                  </a:graphic>
                </wp:inline>
              </w:drawing>
            </w:r>
          </w:p>
        </w:tc>
      </w:tr>
      <w:tr>
        <w:trPr/>
        <w:tc>
          <w:tcPr>
            <w:tcW w:w="365" w:type="dxa"/>
            <w:tcBorders/>
            <w:vAlign w:val="center"/>
          </w:tcPr>
          <w:p>
            <w:pPr>
              <w:pStyle w:val="TableContents"/>
              <w:bidi w:val="0"/>
              <w:spacing w:before="0" w:after="283"/>
              <w:jc w:val="both"/>
              <w:rPr/>
            </w:pPr>
            <w:r>
              <w:rPr/>
              <w:t> </w:t>
            </w:r>
          </w:p>
        </w:tc>
        <w:tc>
          <w:tcPr>
            <w:tcW w:w="4271"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hvor:</w:t>
            </w:r>
          </w:p>
        </w:tc>
        <w:tc>
          <w:tcPr>
            <w:tcW w:w="90" w:type="dxa"/>
            <w:tcBorders/>
            <w:vAlign w:val="center"/>
          </w:tcPr>
          <w:p>
            <w:pPr>
              <w:pStyle w:val="TableContents"/>
              <w:bidi w:val="0"/>
              <w:spacing w:before="0" w:after="283"/>
              <w:jc w:val="both"/>
              <w:rPr/>
            </w:pPr>
            <w:r>
              <w:rPr/>
              <w:t> </w:t>
            </w:r>
          </w:p>
        </w:tc>
        <w:tc>
          <w:tcPr>
            <w:tcW w:w="5479"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where:</w:t>
            </w:r>
          </w:p>
        </w:tc>
      </w:tr>
      <w:tr>
        <w:trPr/>
        <w:tc>
          <w:tcPr>
            <w:tcW w:w="365" w:type="dxa"/>
            <w:tcBorders/>
            <w:vAlign w:val="center"/>
          </w:tcPr>
          <w:p>
            <w:pPr>
              <w:pStyle w:val="TableContents"/>
              <w:bidi w:val="0"/>
              <w:spacing w:before="0" w:after="283"/>
              <w:jc w:val="both"/>
              <w:rPr/>
            </w:pPr>
            <w:r>
              <w:rPr/>
              <w:t> </w:t>
            </w:r>
          </w:p>
        </w:tc>
        <w:tc>
          <w:tcPr>
            <w:tcW w:w="4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A </w:t>
            </w:r>
          </w:p>
        </w:tc>
        <w:tc>
          <w:tcPr>
            <w:tcW w:w="3871" w:type="dxa"/>
            <w:tcBorders/>
            <w:vAlign w:val="center"/>
          </w:tcPr>
          <w:p>
            <w:pPr>
              <w:pStyle w:val="TableContents"/>
              <w:bidi w:val="0"/>
              <w:spacing w:before="0" w:after="283"/>
              <w:jc w:val="both"/>
              <w:rPr/>
            </w:pPr>
            <w:r>
              <w:rPr/>
              <w:t>=          den enkelte akties nominelle værdi efter ændringen, og</w:t>
            </w:r>
          </w:p>
        </w:tc>
        <w:tc>
          <w:tcPr>
            <w:tcW w:w="90" w:type="dxa"/>
            <w:tcBorders/>
            <w:vAlign w:val="center"/>
          </w:tcPr>
          <w:p>
            <w:pPr>
              <w:pStyle w:val="TableContents"/>
              <w:bidi w:val="0"/>
              <w:spacing w:before="0" w:after="283"/>
              <w:jc w:val="both"/>
              <w:rPr/>
            </w:pPr>
            <w:r>
              <w:rPr/>
              <w:t> </w:t>
            </w:r>
          </w:p>
        </w:tc>
        <w:tc>
          <w:tcPr>
            <w:tcW w:w="3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A </w:t>
            </w:r>
          </w:p>
        </w:tc>
        <w:tc>
          <w:tcPr>
            <w:tcW w:w="5104" w:type="dxa"/>
            <w:tcBorders/>
            <w:vAlign w:val="center"/>
          </w:tcPr>
          <w:p>
            <w:pPr>
              <w:pStyle w:val="TableContents"/>
              <w:bidi w:val="0"/>
              <w:spacing w:before="0" w:after="283"/>
              <w:jc w:val="both"/>
              <w:rPr/>
            </w:pPr>
            <w:r>
              <w:rPr/>
              <w:t>=          nominal value of each share after the change, and</w:t>
            </w:r>
          </w:p>
        </w:tc>
      </w:tr>
      <w:tr>
        <w:trPr/>
        <w:tc>
          <w:tcPr>
            <w:tcW w:w="365" w:type="dxa"/>
            <w:tcBorders/>
            <w:vAlign w:val="center"/>
          </w:tcPr>
          <w:p>
            <w:pPr>
              <w:pStyle w:val="TableContents"/>
              <w:bidi w:val="0"/>
              <w:spacing w:before="0" w:after="283"/>
              <w:jc w:val="both"/>
              <w:rPr/>
            </w:pPr>
            <w:r>
              <w:rPr/>
              <w:t> </w:t>
            </w:r>
          </w:p>
        </w:tc>
        <w:tc>
          <w:tcPr>
            <w:tcW w:w="4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B </w:t>
            </w:r>
          </w:p>
        </w:tc>
        <w:tc>
          <w:tcPr>
            <w:tcW w:w="3871" w:type="dxa"/>
            <w:tcBorders/>
            <w:vAlign w:val="center"/>
          </w:tcPr>
          <w:p>
            <w:pPr>
              <w:pStyle w:val="TableContents"/>
              <w:bidi w:val="0"/>
              <w:spacing w:before="0" w:after="283"/>
              <w:jc w:val="both"/>
              <w:rPr/>
            </w:pPr>
            <w:r>
              <w:rPr/>
              <w:t>=          den enkelte akties nominelle værdi før ændringen.</w:t>
            </w:r>
          </w:p>
        </w:tc>
        <w:tc>
          <w:tcPr>
            <w:tcW w:w="90" w:type="dxa"/>
            <w:tcBorders/>
            <w:vAlign w:val="center"/>
          </w:tcPr>
          <w:p>
            <w:pPr>
              <w:pStyle w:val="TableContents"/>
              <w:bidi w:val="0"/>
              <w:spacing w:before="0" w:after="283"/>
              <w:jc w:val="both"/>
              <w:rPr/>
            </w:pPr>
            <w:r>
              <w:rPr/>
              <w:t> </w:t>
            </w:r>
          </w:p>
        </w:tc>
        <w:tc>
          <w:tcPr>
            <w:tcW w:w="3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B </w:t>
            </w:r>
          </w:p>
        </w:tc>
        <w:tc>
          <w:tcPr>
            <w:tcW w:w="5104" w:type="dxa"/>
            <w:tcBorders/>
            <w:vAlign w:val="center"/>
          </w:tcPr>
          <w:p>
            <w:pPr>
              <w:pStyle w:val="TableContents"/>
              <w:bidi w:val="0"/>
              <w:spacing w:before="0" w:after="283"/>
              <w:jc w:val="both"/>
              <w:rPr/>
            </w:pPr>
            <w:r>
              <w:rPr/>
              <w:t>=          nominal value of each share before the change.</w:t>
            </w:r>
          </w:p>
        </w:tc>
      </w:tr>
      <w:tr>
        <w:trPr/>
        <w:tc>
          <w:tcPr>
            <w:tcW w:w="365" w:type="dxa"/>
            <w:tcBorders/>
            <w:vAlign w:val="center"/>
          </w:tcPr>
          <w:p>
            <w:pPr>
              <w:pStyle w:val="TableContents"/>
              <w:bidi w:val="0"/>
              <w:spacing w:before="0" w:after="283"/>
              <w:jc w:val="both"/>
              <w:rPr/>
            </w:pPr>
            <w:r>
              <w:rPr/>
              <w:t> </w:t>
            </w:r>
          </w:p>
        </w:tc>
        <w:tc>
          <w:tcPr>
            <w:tcW w:w="4271"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Hvis det justerede antal aktier ikke er et helt tal, skal der afrundes nedad til det nærmeste hele tal.</w:t>
            </w:r>
          </w:p>
        </w:tc>
        <w:tc>
          <w:tcPr>
            <w:tcW w:w="90" w:type="dxa"/>
            <w:tcBorders/>
            <w:vAlign w:val="center"/>
          </w:tcPr>
          <w:p>
            <w:pPr>
              <w:pStyle w:val="TableContents"/>
              <w:bidi w:val="0"/>
              <w:spacing w:before="0" w:after="283"/>
              <w:jc w:val="both"/>
              <w:rPr/>
            </w:pPr>
            <w:r>
              <w:rPr/>
              <w:t> </w:t>
            </w:r>
          </w:p>
        </w:tc>
        <w:tc>
          <w:tcPr>
            <w:tcW w:w="5479"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adjusted number of shares does not amount to a whole number, the number shall be rounded down to the nearest whole number.</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r>
        <w:rPr/>
        <w:drawing>
          <wp:inline distT="0" distB="0" distL="0" distR="0">
            <wp:extent cx="1181100" cy="39624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81100" cy="39624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65"/>
        <w:gridCol w:w="942"/>
        <w:gridCol w:w="300"/>
        <w:gridCol w:w="3562"/>
        <w:gridCol w:w="90"/>
        <w:gridCol w:w="1010"/>
        <w:gridCol w:w="312"/>
        <w:gridCol w:w="3624"/>
      </w:tblGrid>
      <w:tr>
        <w:trPr/>
        <w:tc>
          <w:tcPr>
            <w:tcW w:w="365" w:type="dxa"/>
            <w:tcBorders/>
            <w:vAlign w:val="center"/>
          </w:tcPr>
          <w:p>
            <w:pPr>
              <w:pStyle w:val="TableContents"/>
              <w:bidi w:val="0"/>
              <w:spacing w:before="0" w:after="283"/>
              <w:jc w:val="both"/>
              <w:rPr>
                <w:b/>
              </w:rPr>
            </w:pPr>
            <w:r>
              <w:rPr>
                <w:b/>
              </w:rPr>
              <w:t>5.6</w:t>
            </w:r>
          </w:p>
        </w:tc>
        <w:tc>
          <w:tcPr>
            <w:tcW w:w="4804" w:type="dxa"/>
            <w:gridSpan w:val="3"/>
            <w:tcBorders/>
            <w:vAlign w:val="center"/>
          </w:tcPr>
          <w:p>
            <w:pPr>
              <w:pStyle w:val="TableContents"/>
              <w:bidi w:val="0"/>
              <w:spacing w:before="0" w:after="283"/>
              <w:jc w:val="both"/>
              <w:rPr>
                <w:b/>
              </w:rPr>
            </w:pPr>
            <w:r>
              <w:rPr>
                <w:b/>
              </w:rPr>
              <w:t>Udbetaling af udbytte:</w:t>
            </w:r>
          </w:p>
        </w:tc>
        <w:tc>
          <w:tcPr>
            <w:tcW w:w="90" w:type="dxa"/>
            <w:tcBorders/>
            <w:vAlign w:val="center"/>
          </w:tcPr>
          <w:p>
            <w:pPr>
              <w:pStyle w:val="TableContents"/>
              <w:bidi w:val="0"/>
              <w:spacing w:before="0" w:after="283"/>
              <w:jc w:val="both"/>
              <w:rPr/>
            </w:pPr>
            <w:r>
              <w:rPr/>
              <w:t> </w:t>
            </w:r>
          </w:p>
        </w:tc>
        <w:tc>
          <w:tcPr>
            <w:tcW w:w="4946" w:type="dxa"/>
            <w:gridSpan w:val="3"/>
            <w:tcBorders/>
            <w:vAlign w:val="center"/>
          </w:tcPr>
          <w:p>
            <w:pPr>
              <w:pStyle w:val="TableContents"/>
              <w:bidi w:val="0"/>
              <w:spacing w:before="0" w:after="283"/>
              <w:jc w:val="both"/>
              <w:rPr>
                <w:b/>
              </w:rPr>
            </w:pPr>
            <w:r>
              <w:rPr>
                <w:b/>
              </w:rPr>
              <w:t>Payment of dividend:</w:t>
            </w:r>
          </w:p>
        </w:tc>
      </w:tr>
      <w:tr>
        <w:trPr/>
        <w:tc>
          <w:tcPr>
            <w:tcW w:w="365" w:type="dxa"/>
            <w:tcBorders/>
            <w:vAlign w:val="center"/>
          </w:tcPr>
          <w:p>
            <w:pPr>
              <w:pStyle w:val="TableContents"/>
              <w:bidi w:val="0"/>
              <w:spacing w:before="0" w:after="283"/>
              <w:jc w:val="both"/>
              <w:rPr/>
            </w:pPr>
            <w:r>
              <w:rPr/>
              <w:t> </w:t>
            </w:r>
          </w:p>
        </w:tc>
        <w:tc>
          <w:tcPr>
            <w:tcW w:w="4804" w:type="dxa"/>
            <w:gridSpan w:val="3"/>
            <w:tcBorders/>
            <w:vAlign w:val="center"/>
          </w:tcPr>
          <w:p>
            <w:pPr>
              <w:pStyle w:val="TableContents"/>
              <w:bidi w:val="0"/>
              <w:spacing w:before="0" w:after="283"/>
              <w:jc w:val="both"/>
              <w:rPr/>
            </w:pPr>
            <w:r>
              <w:rPr/>
              <w:t>Hvis det besluttes at udbetale udbytte, skal den del af udbyttet, der overstiger 10 % af egenkapitalen, medføre en justering af udnyttelsesprisen efter denne formel:</w:t>
            </w:r>
          </w:p>
        </w:tc>
        <w:tc>
          <w:tcPr>
            <w:tcW w:w="90" w:type="dxa"/>
            <w:tcBorders/>
            <w:vAlign w:val="center"/>
          </w:tcPr>
          <w:p>
            <w:pPr>
              <w:pStyle w:val="TableContents"/>
              <w:bidi w:val="0"/>
              <w:spacing w:before="0" w:after="283"/>
              <w:jc w:val="both"/>
              <w:rPr/>
            </w:pPr>
            <w:r>
              <w:rPr/>
              <w:t> </w:t>
            </w:r>
          </w:p>
        </w:tc>
        <w:tc>
          <w:tcPr>
            <w:tcW w:w="4946" w:type="dxa"/>
            <w:gridSpan w:val="3"/>
            <w:tcBorders/>
            <w:vAlign w:val="center"/>
          </w:tcPr>
          <w:p>
            <w:pPr>
              <w:pStyle w:val="TableContents"/>
              <w:bidi w:val="0"/>
              <w:spacing w:before="0" w:after="283"/>
              <w:jc w:val="both"/>
              <w:rPr/>
            </w:pPr>
            <w:r>
              <w:rPr/>
              <w:t>If it is decided to pay dividends, the part of the dividends exceeding 10 per cent of the equity capital shall lead to adjustment of the Exercise Price according to the following formula:</w:t>
            </w:r>
          </w:p>
        </w:tc>
      </w:tr>
      <w:tr>
        <w:trPr/>
        <w:tc>
          <w:tcPr>
            <w:tcW w:w="365" w:type="dxa"/>
            <w:tcBorders/>
            <w:vAlign w:val="center"/>
          </w:tcPr>
          <w:p>
            <w:pPr>
              <w:pStyle w:val="TableContents"/>
              <w:bidi w:val="0"/>
              <w:spacing w:before="0" w:after="283"/>
              <w:jc w:val="both"/>
              <w:rPr/>
            </w:pPr>
            <w:r>
              <w:rPr/>
              <w:t> </w:t>
            </w:r>
          </w:p>
        </w:tc>
        <w:tc>
          <w:tcPr>
            <w:tcW w:w="4804" w:type="dxa"/>
            <w:gridSpan w:val="3"/>
            <w:tcBorders/>
            <w:vAlign w:val="center"/>
          </w:tcPr>
          <w:p>
            <w:pPr>
              <w:pStyle w:val="TableContents"/>
              <w:bidi w:val="0"/>
              <w:spacing w:before="0" w:after="283"/>
              <w:jc w:val="center"/>
              <w:rPr/>
            </w:pPr>
            <w:r>
              <w:rPr/>
              <w:drawing>
                <wp:inline distT="0" distB="0" distL="0" distR="0">
                  <wp:extent cx="920750" cy="2857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20750" cy="285750"/>
                          </a:xfrm>
                          <a:prstGeom prst="rect">
                            <a:avLst/>
                          </a:prstGeom>
                        </pic:spPr>
                      </pic:pic>
                    </a:graphicData>
                  </a:graphic>
                </wp:inline>
              </w:drawing>
            </w:r>
          </w:p>
        </w:tc>
        <w:tc>
          <w:tcPr>
            <w:tcW w:w="90" w:type="dxa"/>
            <w:tcBorders/>
            <w:vAlign w:val="center"/>
          </w:tcPr>
          <w:p>
            <w:pPr>
              <w:pStyle w:val="TableContents"/>
              <w:bidi w:val="0"/>
              <w:spacing w:before="0" w:after="283"/>
              <w:jc w:val="both"/>
              <w:rPr/>
            </w:pPr>
            <w:r>
              <w:rPr/>
              <w:t> </w:t>
            </w:r>
          </w:p>
        </w:tc>
        <w:tc>
          <w:tcPr>
            <w:tcW w:w="4946" w:type="dxa"/>
            <w:gridSpan w:val="3"/>
            <w:tcBorders/>
            <w:vAlign w:val="center"/>
          </w:tcPr>
          <w:p>
            <w:pPr>
              <w:pStyle w:val="TableContents"/>
              <w:bidi w:val="0"/>
              <w:spacing w:before="0" w:after="283"/>
              <w:jc w:val="center"/>
              <w:rPr/>
            </w:pPr>
            <w:r>
              <w:rPr/>
              <w:drawing>
                <wp:inline distT="0" distB="0" distL="0" distR="0">
                  <wp:extent cx="920750" cy="2857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20750" cy="285750"/>
                          </a:xfrm>
                          <a:prstGeom prst="rect">
                            <a:avLst/>
                          </a:prstGeom>
                        </pic:spPr>
                      </pic:pic>
                    </a:graphicData>
                  </a:graphic>
                </wp:inline>
              </w:drawing>
            </w:r>
          </w:p>
        </w:tc>
      </w:tr>
      <w:tr>
        <w:trPr/>
        <w:tc>
          <w:tcPr>
            <w:tcW w:w="365" w:type="dxa"/>
            <w:tcBorders/>
            <w:vAlign w:val="center"/>
          </w:tcPr>
          <w:p>
            <w:pPr>
              <w:pStyle w:val="TableContents"/>
              <w:bidi w:val="0"/>
              <w:spacing w:before="0" w:after="283"/>
              <w:jc w:val="both"/>
              <w:rPr/>
            </w:pPr>
            <w:r>
              <w:rPr/>
              <w:t> </w:t>
            </w:r>
          </w:p>
        </w:tc>
        <w:tc>
          <w:tcPr>
            <w:tcW w:w="4804"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hvor:</w:t>
            </w:r>
          </w:p>
        </w:tc>
        <w:tc>
          <w:tcPr>
            <w:tcW w:w="90" w:type="dxa"/>
            <w:tcBorders/>
            <w:vAlign w:val="center"/>
          </w:tcPr>
          <w:p>
            <w:pPr>
              <w:pStyle w:val="TableContents"/>
              <w:bidi w:val="0"/>
              <w:spacing w:before="0" w:after="283"/>
              <w:jc w:val="both"/>
              <w:rPr/>
            </w:pPr>
            <w:r>
              <w:rPr/>
              <w:t> </w:t>
            </w:r>
          </w:p>
        </w:tc>
        <w:tc>
          <w:tcPr>
            <w:tcW w:w="4946"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w:t>
            </w:r>
          </w:p>
        </w:tc>
      </w:tr>
      <w:tr>
        <w:trPr/>
        <w:tc>
          <w:tcPr>
            <w:tcW w:w="365" w:type="dxa"/>
            <w:tcBorders/>
            <w:vAlign w:val="center"/>
          </w:tcPr>
          <w:p>
            <w:pPr>
              <w:pStyle w:val="TableContents"/>
              <w:bidi w:val="0"/>
              <w:spacing w:before="0" w:after="283"/>
              <w:jc w:val="both"/>
              <w:rPr/>
            </w:pPr>
            <w:r>
              <w:rPr/>
              <w:t> </w:t>
            </w:r>
          </w:p>
        </w:tc>
        <w:tc>
          <w:tcPr>
            <w:tcW w:w="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E2 </w:t>
            </w:r>
          </w:p>
        </w:tc>
        <w:tc>
          <w:tcPr>
            <w:tcW w:w="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 </w:t>
            </w:r>
          </w:p>
        </w:tc>
        <w:tc>
          <w:tcPr>
            <w:tcW w:w="35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 justerede Udnyttelsespris</w:t>
            </w:r>
          </w:p>
        </w:tc>
        <w:tc>
          <w:tcPr>
            <w:tcW w:w="90" w:type="dxa"/>
            <w:tcBorders/>
            <w:vAlign w:val="center"/>
          </w:tcPr>
          <w:p>
            <w:pPr>
              <w:pStyle w:val="TableContents"/>
              <w:bidi w:val="0"/>
              <w:spacing w:before="0" w:after="283"/>
              <w:jc w:val="both"/>
              <w:rPr/>
            </w:pPr>
            <w:r>
              <w:rPr/>
              <w:t> </w:t>
            </w:r>
          </w:p>
        </w:tc>
        <w:tc>
          <w:tcPr>
            <w:tcW w:w="1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E2 </w:t>
            </w:r>
          </w:p>
        </w:tc>
        <w:tc>
          <w:tcPr>
            <w:tcW w:w="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 </w:t>
            </w:r>
          </w:p>
        </w:tc>
        <w:tc>
          <w:tcPr>
            <w:tcW w:w="36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adjusted Exercise Price</w:t>
            </w:r>
          </w:p>
        </w:tc>
      </w:tr>
      <w:tr>
        <w:trPr/>
        <w:tc>
          <w:tcPr>
            <w:tcW w:w="365" w:type="dxa"/>
            <w:tcBorders/>
            <w:vAlign w:val="center"/>
          </w:tcPr>
          <w:p>
            <w:pPr>
              <w:pStyle w:val="TableContents"/>
              <w:bidi w:val="0"/>
              <w:spacing w:before="0" w:after="283"/>
              <w:jc w:val="both"/>
              <w:rPr/>
            </w:pPr>
            <w:r>
              <w:rPr/>
              <w:t> </w:t>
            </w:r>
          </w:p>
        </w:tc>
        <w:tc>
          <w:tcPr>
            <w:tcW w:w="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E1 </w:t>
            </w:r>
          </w:p>
        </w:tc>
        <w:tc>
          <w:tcPr>
            <w:tcW w:w="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 </w:t>
            </w:r>
          </w:p>
        </w:tc>
        <w:tc>
          <w:tcPr>
            <w:tcW w:w="35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 oprindelige Udnyttelsespris</w:t>
            </w:r>
          </w:p>
        </w:tc>
        <w:tc>
          <w:tcPr>
            <w:tcW w:w="90" w:type="dxa"/>
            <w:tcBorders/>
            <w:vAlign w:val="center"/>
          </w:tcPr>
          <w:p>
            <w:pPr>
              <w:pStyle w:val="TableContents"/>
              <w:bidi w:val="0"/>
              <w:spacing w:before="0" w:after="283"/>
              <w:jc w:val="both"/>
              <w:rPr/>
            </w:pPr>
            <w:r>
              <w:rPr/>
              <w:t> </w:t>
            </w:r>
          </w:p>
        </w:tc>
        <w:tc>
          <w:tcPr>
            <w:tcW w:w="1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E1 </w:t>
            </w:r>
          </w:p>
        </w:tc>
        <w:tc>
          <w:tcPr>
            <w:tcW w:w="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36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original Exercise Price</w:t>
            </w:r>
          </w:p>
        </w:tc>
      </w:tr>
      <w:tr>
        <w:trPr/>
        <w:tc>
          <w:tcPr>
            <w:tcW w:w="365" w:type="dxa"/>
            <w:tcBorders/>
            <w:vAlign w:val="center"/>
          </w:tcPr>
          <w:p>
            <w:pPr>
              <w:pStyle w:val="TableContents"/>
              <w:bidi w:val="0"/>
              <w:spacing w:before="0" w:after="283"/>
              <w:jc w:val="both"/>
              <w:rPr/>
            </w:pPr>
            <w:r>
              <w:rPr/>
              <w:t> </w:t>
            </w:r>
          </w:p>
        </w:tc>
        <w:tc>
          <w:tcPr>
            <w:tcW w:w="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 </w:t>
            </w:r>
          </w:p>
        </w:tc>
        <w:tc>
          <w:tcPr>
            <w:tcW w:w="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 </w:t>
            </w:r>
          </w:p>
        </w:tc>
        <w:tc>
          <w:tcPr>
            <w:tcW w:w="35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udbetalte udbytte</w:t>
            </w:r>
          </w:p>
        </w:tc>
        <w:tc>
          <w:tcPr>
            <w:tcW w:w="90" w:type="dxa"/>
            <w:tcBorders/>
            <w:vAlign w:val="center"/>
          </w:tcPr>
          <w:p>
            <w:pPr>
              <w:pStyle w:val="TableContents"/>
              <w:bidi w:val="0"/>
              <w:spacing w:before="0" w:after="283"/>
              <w:jc w:val="both"/>
              <w:rPr/>
            </w:pPr>
            <w:r>
              <w:rPr/>
              <w:t> </w:t>
            </w:r>
          </w:p>
        </w:tc>
        <w:tc>
          <w:tcPr>
            <w:tcW w:w="1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 </w:t>
            </w:r>
          </w:p>
        </w:tc>
        <w:tc>
          <w:tcPr>
            <w:tcW w:w="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 </w:t>
            </w:r>
          </w:p>
        </w:tc>
        <w:tc>
          <w:tcPr>
            <w:tcW w:w="36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dividends paid out</w:t>
            </w:r>
          </w:p>
        </w:tc>
      </w:tr>
      <w:tr>
        <w:trPr/>
        <w:tc>
          <w:tcPr>
            <w:tcW w:w="365" w:type="dxa"/>
            <w:tcBorders/>
            <w:vAlign w:val="center"/>
          </w:tcPr>
          <w:p>
            <w:pPr>
              <w:pStyle w:val="TableContents"/>
              <w:bidi w:val="0"/>
              <w:spacing w:before="0" w:after="283"/>
              <w:jc w:val="both"/>
              <w:rPr/>
            </w:pPr>
            <w:r>
              <w:rPr/>
              <w:t> </w:t>
            </w:r>
          </w:p>
        </w:tc>
        <w:tc>
          <w:tcPr>
            <w:tcW w:w="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Umax </w:t>
            </w:r>
          </w:p>
        </w:tc>
        <w:tc>
          <w:tcPr>
            <w:tcW w:w="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 </w:t>
            </w:r>
          </w:p>
        </w:tc>
        <w:tc>
          <w:tcPr>
            <w:tcW w:w="35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10 % af egenkapitalen, og</w:t>
            </w:r>
          </w:p>
        </w:tc>
        <w:tc>
          <w:tcPr>
            <w:tcW w:w="90" w:type="dxa"/>
            <w:tcBorders/>
            <w:vAlign w:val="center"/>
          </w:tcPr>
          <w:p>
            <w:pPr>
              <w:pStyle w:val="TableContents"/>
              <w:bidi w:val="0"/>
              <w:spacing w:before="0" w:after="283"/>
              <w:jc w:val="both"/>
              <w:rPr/>
            </w:pPr>
            <w:r>
              <w:rPr/>
              <w:t> </w:t>
            </w:r>
          </w:p>
        </w:tc>
        <w:tc>
          <w:tcPr>
            <w:tcW w:w="1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Umax </w:t>
            </w:r>
          </w:p>
        </w:tc>
        <w:tc>
          <w:tcPr>
            <w:tcW w:w="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 </w:t>
            </w:r>
          </w:p>
        </w:tc>
        <w:tc>
          <w:tcPr>
            <w:tcW w:w="36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 per cent of the equity capital, and</w:t>
            </w:r>
          </w:p>
        </w:tc>
      </w:tr>
      <w:tr>
        <w:trPr/>
        <w:tc>
          <w:tcPr>
            <w:tcW w:w="365" w:type="dxa"/>
            <w:tcBorders/>
            <w:vAlign w:val="center"/>
          </w:tcPr>
          <w:p>
            <w:pPr>
              <w:pStyle w:val="TableContents"/>
              <w:bidi w:val="0"/>
              <w:spacing w:before="0" w:after="283"/>
              <w:jc w:val="both"/>
              <w:rPr/>
            </w:pPr>
            <w:r>
              <w:rPr/>
              <w:t> </w:t>
            </w:r>
          </w:p>
        </w:tc>
        <w:tc>
          <w:tcPr>
            <w:tcW w:w="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w:t>
            </w:r>
          </w:p>
        </w:tc>
        <w:tc>
          <w:tcPr>
            <w:tcW w:w="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 </w:t>
            </w:r>
          </w:p>
        </w:tc>
        <w:tc>
          <w:tcPr>
            <w:tcW w:w="35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samlede antal aktier i Sel-skabet.</w:t>
            </w:r>
          </w:p>
        </w:tc>
        <w:tc>
          <w:tcPr>
            <w:tcW w:w="90" w:type="dxa"/>
            <w:tcBorders/>
            <w:vAlign w:val="center"/>
          </w:tcPr>
          <w:p>
            <w:pPr>
              <w:pStyle w:val="TableContents"/>
              <w:bidi w:val="0"/>
              <w:spacing w:before="0" w:after="283"/>
              <w:jc w:val="both"/>
              <w:rPr/>
            </w:pPr>
            <w:r>
              <w:rPr/>
              <w:t> </w:t>
            </w:r>
          </w:p>
        </w:tc>
        <w:tc>
          <w:tcPr>
            <w:tcW w:w="1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w:t>
            </w:r>
          </w:p>
        </w:tc>
        <w:tc>
          <w:tcPr>
            <w:tcW w:w="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 </w:t>
            </w:r>
          </w:p>
        </w:tc>
        <w:tc>
          <w:tcPr>
            <w:tcW w:w="36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number of shares in the Company.</w:t>
            </w:r>
          </w:p>
        </w:tc>
      </w:tr>
      <w:tr>
        <w:trPr/>
        <w:tc>
          <w:tcPr>
            <w:tcW w:w="365" w:type="dxa"/>
            <w:tcBorders/>
            <w:vAlign w:val="center"/>
          </w:tcPr>
          <w:p>
            <w:pPr>
              <w:pStyle w:val="TableContents"/>
              <w:bidi w:val="0"/>
              <w:spacing w:before="0" w:after="283"/>
              <w:jc w:val="both"/>
              <w:rPr/>
            </w:pPr>
            <w:r>
              <w:rPr/>
              <w:t> </w:t>
            </w:r>
          </w:p>
        </w:tc>
        <w:tc>
          <w:tcPr>
            <w:tcW w:w="4804" w:type="dxa"/>
            <w:gridSpan w:val="3"/>
            <w:tcBorders/>
            <w:vAlign w:val="center"/>
          </w:tcPr>
          <w:p>
            <w:pPr>
              <w:pStyle w:val="TableContents"/>
              <w:bidi w:val="0"/>
              <w:spacing w:before="0" w:after="283"/>
              <w:jc w:val="both"/>
              <w:rPr/>
            </w:pPr>
            <w:r>
              <w:rPr/>
              <w:t>Den egenkapital, der skal lægges til grund ved ovenstående justering, er egenkapitalen anført i den årsrapport som godkendes af generalforsamlingen hvor udbytte besluttes, men justeret til markedsværdi. Hvis Selskabet er børsnoteret, fastsættes markedsværdien til aktiernes noterede pris på tidspunktet for beslutningen om at udbetale udbytte. Hvis Selskabet er unoteret fastsættes markedsværdien fra seneste kapitalrunde i Selskabet hvor en eller flere investorer har tegnet aktier.</w:t>
            </w:r>
          </w:p>
        </w:tc>
        <w:tc>
          <w:tcPr>
            <w:tcW w:w="90" w:type="dxa"/>
            <w:tcBorders/>
            <w:vAlign w:val="center"/>
          </w:tcPr>
          <w:p>
            <w:pPr>
              <w:pStyle w:val="TableContents"/>
              <w:bidi w:val="0"/>
              <w:spacing w:before="0" w:after="283"/>
              <w:jc w:val="both"/>
              <w:rPr/>
            </w:pPr>
            <w:r>
              <w:rPr/>
              <w:t> </w:t>
            </w:r>
          </w:p>
        </w:tc>
        <w:tc>
          <w:tcPr>
            <w:tcW w:w="4946" w:type="dxa"/>
            <w:gridSpan w:val="3"/>
            <w:tcBorders/>
            <w:vAlign w:val="center"/>
          </w:tcPr>
          <w:p>
            <w:pPr>
              <w:pStyle w:val="TableContents"/>
              <w:bidi w:val="0"/>
              <w:spacing w:before="0" w:after="283"/>
              <w:jc w:val="both"/>
              <w:rPr/>
            </w:pPr>
            <w:r>
              <w:rPr/>
              <w:t>The equity capital which shall form the basis of the abovementioned adjustment, is the equity capital stipulated in the Annual Report to be adopted at the General Meeting where dividends shall be approved before allocation, but adjusted to market price. If the Company is listed then the market price shall be the listed price of the shares at the time of the decision to pay dividends. If the Company is unlisted then the market price shall be determined by the latest investment round in the Company, in which one or more investors have subscribed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181100" cy="39624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81100" cy="39624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
        <w:gridCol w:w="5080"/>
        <w:gridCol w:w="90"/>
        <w:gridCol w:w="4670"/>
      </w:tblGrid>
      <w:tr>
        <w:trPr/>
        <w:tc>
          <w:tcPr>
            <w:tcW w:w="365" w:type="dxa"/>
            <w:tcBorders/>
            <w:vAlign w:val="center"/>
          </w:tcPr>
          <w:p>
            <w:pPr>
              <w:pStyle w:val="TableContents"/>
              <w:bidi w:val="0"/>
              <w:spacing w:before="0" w:after="283"/>
              <w:jc w:val="both"/>
              <w:rPr>
                <w:b/>
              </w:rPr>
            </w:pPr>
            <w:r>
              <w:rPr>
                <w:b/>
              </w:rPr>
              <w:t>5.7</w:t>
            </w:r>
          </w:p>
        </w:tc>
        <w:tc>
          <w:tcPr>
            <w:tcW w:w="508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Andre ændringer i Selskabets kapitalforhold:</w:t>
            </w:r>
          </w:p>
        </w:tc>
        <w:tc>
          <w:tcPr>
            <w:tcW w:w="90" w:type="dxa"/>
            <w:tcBorders/>
            <w:vAlign w:val="center"/>
          </w:tcPr>
          <w:p>
            <w:pPr>
              <w:pStyle w:val="TableContents"/>
              <w:bidi w:val="0"/>
              <w:spacing w:before="0" w:after="283"/>
              <w:jc w:val="both"/>
              <w:rPr/>
            </w:pPr>
            <w:r>
              <w:rPr/>
              <w:t> </w:t>
            </w:r>
          </w:p>
        </w:tc>
        <w:tc>
          <w:tcPr>
            <w:tcW w:w="467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Other changes in the Company’s capital position:</w:t>
            </w:r>
          </w:p>
        </w:tc>
      </w:tr>
      <w:tr>
        <w:trPr/>
        <w:tc>
          <w:tcPr>
            <w:tcW w:w="365" w:type="dxa"/>
            <w:tcBorders/>
            <w:vAlign w:val="center"/>
          </w:tcPr>
          <w:p>
            <w:pPr>
              <w:pStyle w:val="TableContents"/>
              <w:bidi w:val="0"/>
              <w:spacing w:before="0" w:after="283"/>
              <w:jc w:val="both"/>
              <w:rPr/>
            </w:pPr>
            <w:r>
              <w:rPr/>
              <w:t> </w:t>
            </w:r>
          </w:p>
        </w:tc>
        <w:tc>
          <w:tcPr>
            <w:tcW w:w="5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Hvis der sker andre ændringer i Selskabets kapitalforhold, der medfører en ændring i Warrants værdi, skal (medmindre andet er angivet ovenfor) Warrants justeres, således at ændringen ikke påvirker Warrants økonomiske værdi.</w:t>
            </w:r>
          </w:p>
        </w:tc>
        <w:tc>
          <w:tcPr>
            <w:tcW w:w="90" w:type="dxa"/>
            <w:tcBorders/>
            <w:vAlign w:val="center"/>
          </w:tcPr>
          <w:p>
            <w:pPr>
              <w:pStyle w:val="TableContents"/>
              <w:bidi w:val="0"/>
              <w:spacing w:before="0" w:after="283"/>
              <w:jc w:val="both"/>
              <w:rPr/>
            </w:pPr>
            <w:r>
              <w:rPr/>
              <w:t> </w:t>
            </w:r>
          </w:p>
        </w:tc>
        <w:tc>
          <w:tcPr>
            <w:tcW w:w="4670" w:type="dxa"/>
            <w:tcBorders/>
            <w:vAlign w:val="center"/>
          </w:tcPr>
          <w:p>
            <w:pPr>
              <w:pStyle w:val="TableContents"/>
              <w:bidi w:val="0"/>
              <w:spacing w:before="0" w:after="283"/>
              <w:jc w:val="both"/>
              <w:rPr/>
            </w:pPr>
            <w:r>
              <w:rPr/>
              <w:t>In the event of other changes in the Company’s capital position causing changes to the value of Warrants, Warrants shall (unless otherwise indicated above) be adjusted in order to ensure that the changes do not influence the financial value of the Warrants.</w:t>
            </w:r>
          </w:p>
        </w:tc>
      </w:tr>
      <w:tr>
        <w:trPr/>
        <w:tc>
          <w:tcPr>
            <w:tcW w:w="365" w:type="dxa"/>
            <w:tcBorders/>
            <w:vAlign w:val="center"/>
          </w:tcPr>
          <w:p>
            <w:pPr>
              <w:pStyle w:val="TableContents"/>
              <w:bidi w:val="0"/>
              <w:spacing w:before="0" w:after="283"/>
              <w:jc w:val="both"/>
              <w:rPr/>
            </w:pPr>
            <w:r>
              <w:rPr/>
              <w:t> </w:t>
            </w:r>
          </w:p>
        </w:tc>
        <w:tc>
          <w:tcPr>
            <w:tcW w:w="5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Den beregningsmetode, der skal anvendes ved justeringen, fastsættes af en af bestyrelsen valgt ekstern uafhængig rådgiver.</w:t>
            </w:r>
          </w:p>
        </w:tc>
        <w:tc>
          <w:tcPr>
            <w:tcW w:w="90" w:type="dxa"/>
            <w:tcBorders/>
            <w:vAlign w:val="center"/>
          </w:tcPr>
          <w:p>
            <w:pPr>
              <w:pStyle w:val="TableContents"/>
              <w:bidi w:val="0"/>
              <w:spacing w:before="0" w:after="283"/>
              <w:jc w:val="both"/>
              <w:rPr/>
            </w:pPr>
            <w:r>
              <w:rPr/>
              <w:t> </w:t>
            </w:r>
          </w:p>
        </w:tc>
        <w:tc>
          <w:tcPr>
            <w:tcW w:w="46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calculation method to be applied to the adjustment shall be decided by an external independent advisor appointed by the Board of Directors.</w:t>
            </w:r>
          </w:p>
        </w:tc>
      </w:tr>
      <w:tr>
        <w:trPr/>
        <w:tc>
          <w:tcPr>
            <w:tcW w:w="365" w:type="dxa"/>
            <w:tcBorders/>
            <w:vAlign w:val="center"/>
          </w:tcPr>
          <w:p>
            <w:pPr>
              <w:pStyle w:val="TableContents"/>
              <w:bidi w:val="0"/>
              <w:spacing w:before="0" w:after="283"/>
              <w:jc w:val="both"/>
              <w:rPr>
                <w:b/>
              </w:rPr>
            </w:pPr>
            <w:r>
              <w:rPr>
                <w:b/>
              </w:rPr>
              <w:t>5.8</w:t>
            </w:r>
          </w:p>
        </w:tc>
        <w:tc>
          <w:tcPr>
            <w:tcW w:w="508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Likvidation:</w:t>
            </w:r>
          </w:p>
        </w:tc>
        <w:tc>
          <w:tcPr>
            <w:tcW w:w="90" w:type="dxa"/>
            <w:tcBorders/>
            <w:vAlign w:val="center"/>
          </w:tcPr>
          <w:p>
            <w:pPr>
              <w:pStyle w:val="TableContents"/>
              <w:bidi w:val="0"/>
              <w:spacing w:before="0" w:after="283"/>
              <w:jc w:val="both"/>
              <w:rPr/>
            </w:pPr>
            <w:r>
              <w:rPr/>
              <w:t> </w:t>
            </w:r>
          </w:p>
        </w:tc>
        <w:tc>
          <w:tcPr>
            <w:tcW w:w="467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Liquidation or Winding-up:</w:t>
            </w:r>
          </w:p>
        </w:tc>
      </w:tr>
      <w:tr>
        <w:trPr/>
        <w:tc>
          <w:tcPr>
            <w:tcW w:w="365" w:type="dxa"/>
            <w:tcBorders/>
            <w:vAlign w:val="center"/>
          </w:tcPr>
          <w:p>
            <w:pPr>
              <w:pStyle w:val="TableContents"/>
              <w:bidi w:val="0"/>
              <w:spacing w:before="0" w:after="283"/>
              <w:jc w:val="both"/>
              <w:rPr/>
            </w:pPr>
            <w:r>
              <w:rPr/>
              <w:t> </w:t>
            </w:r>
          </w:p>
        </w:tc>
        <w:tc>
          <w:tcPr>
            <w:tcW w:w="5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Hvis Selskabet bliver likvideret, kan Warrantindehaveren udnytte Warrants i en ekstraordinær udnyttelsesperiode umiddelbart før den pågældende transaktion finder sted.</w:t>
            </w:r>
          </w:p>
        </w:tc>
        <w:tc>
          <w:tcPr>
            <w:tcW w:w="90" w:type="dxa"/>
            <w:tcBorders/>
            <w:vAlign w:val="center"/>
          </w:tcPr>
          <w:p>
            <w:pPr>
              <w:pStyle w:val="TableContents"/>
              <w:bidi w:val="0"/>
              <w:spacing w:before="0" w:after="283"/>
              <w:jc w:val="both"/>
              <w:rPr/>
            </w:pPr>
            <w:r>
              <w:rPr/>
              <w:t> </w:t>
            </w:r>
          </w:p>
        </w:tc>
        <w:tc>
          <w:tcPr>
            <w:tcW w:w="46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Should the Company be liquidated the Warrantholder may exercise his/her Warrants in an extraordinary exercise period immediately preceding the relevant transaction.</w:t>
            </w:r>
          </w:p>
        </w:tc>
      </w:tr>
      <w:tr>
        <w:trPr/>
        <w:tc>
          <w:tcPr>
            <w:tcW w:w="365" w:type="dxa"/>
            <w:tcBorders/>
            <w:vAlign w:val="center"/>
          </w:tcPr>
          <w:p>
            <w:pPr>
              <w:pStyle w:val="TableContents"/>
              <w:bidi w:val="0"/>
              <w:spacing w:before="0" w:after="283"/>
              <w:jc w:val="both"/>
              <w:rPr>
                <w:b/>
              </w:rPr>
            </w:pPr>
            <w:r>
              <w:rPr>
                <w:b/>
              </w:rPr>
              <w:t>5.9</w:t>
            </w:r>
          </w:p>
        </w:tc>
        <w:tc>
          <w:tcPr>
            <w:tcW w:w="508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Fusion og spaltning:</w:t>
            </w:r>
          </w:p>
        </w:tc>
        <w:tc>
          <w:tcPr>
            <w:tcW w:w="90" w:type="dxa"/>
            <w:tcBorders/>
            <w:vAlign w:val="center"/>
          </w:tcPr>
          <w:p>
            <w:pPr>
              <w:pStyle w:val="TableContents"/>
              <w:bidi w:val="0"/>
              <w:spacing w:before="0" w:after="283"/>
              <w:jc w:val="both"/>
              <w:rPr/>
            </w:pPr>
            <w:r>
              <w:rPr/>
              <w:t> </w:t>
            </w:r>
          </w:p>
        </w:tc>
        <w:tc>
          <w:tcPr>
            <w:tcW w:w="467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Merger and demerger:</w:t>
            </w:r>
          </w:p>
        </w:tc>
      </w:tr>
      <w:tr>
        <w:trPr/>
        <w:tc>
          <w:tcPr>
            <w:tcW w:w="365" w:type="dxa"/>
            <w:tcBorders/>
            <w:vAlign w:val="center"/>
          </w:tcPr>
          <w:p>
            <w:pPr>
              <w:pStyle w:val="TableContents"/>
              <w:bidi w:val="0"/>
              <w:spacing w:before="0" w:after="283"/>
              <w:jc w:val="both"/>
              <w:rPr/>
            </w:pPr>
            <w:r>
              <w:rPr/>
              <w:t> </w:t>
            </w:r>
          </w:p>
        </w:tc>
        <w:tc>
          <w:tcPr>
            <w:tcW w:w="5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Hvis Selskabet indgår i en fusion som det fortsættende selskab, bliver Warrants ikke påvirket, medmindre der i forbindelse med fusionen sker en kapitalforhøjelse til en anden kurs end markedskursen, idet Warrants i så fald justeres i henhold til ovenstående.</w:t>
            </w:r>
          </w:p>
        </w:tc>
        <w:tc>
          <w:tcPr>
            <w:tcW w:w="90" w:type="dxa"/>
            <w:tcBorders/>
            <w:vAlign w:val="center"/>
          </w:tcPr>
          <w:p>
            <w:pPr>
              <w:pStyle w:val="TableContents"/>
              <w:bidi w:val="0"/>
              <w:spacing w:before="0" w:after="283"/>
              <w:jc w:val="both"/>
              <w:rPr/>
            </w:pPr>
            <w:r>
              <w:rPr/>
              <w:t> </w:t>
            </w:r>
          </w:p>
        </w:tc>
        <w:tc>
          <w:tcPr>
            <w:tcW w:w="4670" w:type="dxa"/>
            <w:tcBorders/>
            <w:vAlign w:val="center"/>
          </w:tcPr>
          <w:p>
            <w:pPr>
              <w:pStyle w:val="TableContents"/>
              <w:bidi w:val="0"/>
              <w:spacing w:before="0" w:after="283"/>
              <w:jc w:val="both"/>
              <w:rPr/>
            </w:pPr>
            <w:r>
              <w:rPr/>
              <w:t>If the Company merges as the continuing company, Warrants shall remain unaffected unless, in connection with the merger, the capital is increased at a price other than the market price and in that case Warrants shall be adjusted in accordance with the above.</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r>
        <w:rPr/>
        <w:drawing>
          <wp:inline distT="0" distB="0" distL="0" distR="0">
            <wp:extent cx="1181100" cy="39624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81100" cy="39624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5"/>
        <w:gridCol w:w="4884"/>
        <w:gridCol w:w="90"/>
        <w:gridCol w:w="5126"/>
      </w:tblGrid>
      <w:tr>
        <w:trPr/>
        <w:tc>
          <w:tcPr>
            <w:tcW w:w="105" w:type="dxa"/>
            <w:tcBorders/>
            <w:vAlign w:val="center"/>
          </w:tcPr>
          <w:p>
            <w:pPr>
              <w:pStyle w:val="TableContents"/>
              <w:bidi w:val="0"/>
              <w:spacing w:before="0" w:after="283"/>
              <w:jc w:val="both"/>
              <w:rPr/>
            </w:pPr>
            <w:r>
              <w:rPr/>
              <w:t> </w:t>
            </w:r>
          </w:p>
        </w:tc>
        <w:tc>
          <w:tcPr>
            <w:tcW w:w="4884" w:type="dxa"/>
            <w:tcBorders/>
            <w:vAlign w:val="center"/>
          </w:tcPr>
          <w:p>
            <w:pPr>
              <w:pStyle w:val="TableContents"/>
              <w:bidi w:val="0"/>
              <w:spacing w:before="0" w:after="283"/>
              <w:jc w:val="both"/>
              <w:rPr/>
            </w:pPr>
            <w:r>
              <w:rPr/>
              <w:t>Hvis Selskabet fusionerer som det ophørende selskab eller bliver spaltet, kan det fortsættende selskab vælge én af disse muligheder:</w:t>
            </w:r>
          </w:p>
        </w:tc>
        <w:tc>
          <w:tcPr>
            <w:tcW w:w="90" w:type="dxa"/>
            <w:tcBorders/>
            <w:vAlign w:val="center"/>
          </w:tcPr>
          <w:p>
            <w:pPr>
              <w:pStyle w:val="TableContents"/>
              <w:bidi w:val="0"/>
              <w:spacing w:before="0" w:after="283"/>
              <w:jc w:val="both"/>
              <w:rPr/>
            </w:pPr>
            <w:r>
              <w:rPr/>
              <w:t> </w:t>
            </w:r>
          </w:p>
        </w:tc>
        <w:tc>
          <w:tcPr>
            <w:tcW w:w="5126" w:type="dxa"/>
            <w:tcBorders/>
            <w:vAlign w:val="center"/>
          </w:tcPr>
          <w:p>
            <w:pPr>
              <w:pStyle w:val="TableContents"/>
              <w:bidi w:val="0"/>
              <w:spacing w:before="0" w:after="283"/>
              <w:jc w:val="both"/>
              <w:rPr/>
            </w:pPr>
            <w:r>
              <w:rPr/>
              <w:t>If the Company merges as the terminating company or is demerged, the continuing company may choose one of the following possibilities:</w:t>
            </w:r>
          </w:p>
        </w:tc>
      </w:tr>
    </w:tbl>
    <w:tbl>
      <w:tblPr>
        <w:tblW w:w="10205" w:type="dxa"/>
        <w:jc w:val="left"/>
        <w:tblInd w:w="0" w:type="dxa"/>
        <w:tblLayout w:type="fixed"/>
        <w:tblCellMar>
          <w:top w:w="0" w:type="dxa"/>
          <w:left w:w="0" w:type="dxa"/>
          <w:bottom w:w="0" w:type="dxa"/>
          <w:right w:w="0" w:type="dxa"/>
        </w:tblCellMar>
      </w:tblPr>
      <w:tblGrid>
        <w:gridCol w:w="485"/>
        <w:gridCol w:w="128"/>
        <w:gridCol w:w="5052"/>
        <w:gridCol w:w="90"/>
        <w:gridCol w:w="126"/>
        <w:gridCol w:w="4324"/>
      </w:tblGrid>
      <w:tr>
        <w:trPr/>
        <w:tc>
          <w:tcPr>
            <w:tcW w:w="485" w:type="dxa"/>
            <w:tcBorders/>
            <w:vAlign w:val="center"/>
          </w:tcPr>
          <w:p>
            <w:pPr>
              <w:pStyle w:val="TableContents"/>
              <w:bidi w:val="0"/>
              <w:spacing w:before="0" w:after="283"/>
              <w:jc w:val="both"/>
              <w:rPr/>
            </w:pPr>
            <w:r>
              <w:rPr/>
              <w:t> </w:t>
            </w:r>
          </w:p>
        </w:tc>
        <w:tc>
          <w:tcPr>
            <w:tcW w:w="128" w:type="dxa"/>
            <w:tcBorders/>
            <w:vAlign w:val="center"/>
          </w:tcPr>
          <w:p>
            <w:pPr>
              <w:pStyle w:val="TableContents"/>
              <w:bidi w:val="0"/>
              <w:spacing w:before="0" w:after="283"/>
              <w:jc w:val="both"/>
              <w:rPr/>
            </w:pPr>
            <w:r>
              <w:rPr/>
              <w:t>-</w:t>
            </w:r>
          </w:p>
        </w:tc>
        <w:tc>
          <w:tcPr>
            <w:tcW w:w="50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Warrantindehaveren kan umiddelbart inden fusionen/spaltningen udnytte alle ikke udnyttede Warrants, der ikke er bortfaldet (inklusive Warrants der endnu ikke er optjent), eller (b) Warrants bliver erstattet af nye aktie/ aktieinstrumenter i de(t) fortsættende selskab(er) af tilsvarende økonomisk værdi før skat. Ved spaltning kan de fortsættende selskaber selv bestemme, i hvilke(t) selskab(er) Warrantindehaverne skal modtage de nye aktier/aktieinstrumenter.</w:t>
            </w:r>
          </w:p>
        </w:tc>
        <w:tc>
          <w:tcPr>
            <w:tcW w:w="90" w:type="dxa"/>
            <w:tcBorders/>
            <w:vAlign w:val="center"/>
          </w:tcPr>
          <w:p>
            <w:pPr>
              <w:pStyle w:val="TableContents"/>
              <w:bidi w:val="0"/>
              <w:spacing w:before="0" w:after="283"/>
              <w:jc w:val="both"/>
              <w:rPr/>
            </w:pPr>
            <w:r>
              <w:rPr/>
              <w:t> </w:t>
            </w:r>
          </w:p>
        </w:tc>
        <w:tc>
          <w:tcPr>
            <w:tcW w:w="126" w:type="dxa"/>
            <w:tcBorders/>
            <w:vAlign w:val="center"/>
          </w:tcPr>
          <w:p>
            <w:pPr>
              <w:pStyle w:val="TableContents"/>
              <w:bidi w:val="0"/>
              <w:spacing w:before="0" w:after="283"/>
              <w:jc w:val="both"/>
              <w:rPr/>
            </w:pPr>
            <w:r>
              <w:rPr/>
              <w:t>-</w:t>
            </w:r>
          </w:p>
        </w:tc>
        <w:tc>
          <w:tcPr>
            <w:tcW w:w="43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The Warrantholder may exercise all non-exercised Warrants that are not declared null and void (inclusive of Warrants not yet vested) immediately before the merger/demerger, or (b) new share instruments in the continuing company/companies of a corresponding financial pre-tax value shall replace the Warrants. Upon demerger, the continuing companies may decide in which company/companies the Warrantholders shall receive the new shares or share instruments.</w:t>
            </w:r>
          </w:p>
        </w:tc>
      </w:tr>
      <w:tr>
        <w:trPr/>
        <w:tc>
          <w:tcPr>
            <w:tcW w:w="485" w:type="dxa"/>
            <w:tcBorders/>
            <w:vAlign w:val="center"/>
          </w:tcPr>
          <w:p>
            <w:pPr>
              <w:pStyle w:val="TableContents"/>
              <w:bidi w:val="0"/>
              <w:spacing w:before="0" w:after="283"/>
              <w:jc w:val="both"/>
              <w:rPr>
                <w:b/>
              </w:rPr>
            </w:pPr>
            <w:r>
              <w:rPr>
                <w:b/>
              </w:rPr>
              <w:t>5.10</w:t>
            </w:r>
          </w:p>
        </w:tc>
        <w:tc>
          <w:tcPr>
            <w:tcW w:w="5180"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Salg og aktieombytning:</w:t>
            </w:r>
          </w:p>
        </w:tc>
        <w:tc>
          <w:tcPr>
            <w:tcW w:w="90" w:type="dxa"/>
            <w:tcBorders/>
            <w:vAlign w:val="center"/>
          </w:tcPr>
          <w:p>
            <w:pPr>
              <w:pStyle w:val="TableContents"/>
              <w:bidi w:val="0"/>
              <w:spacing w:before="0" w:after="283"/>
              <w:jc w:val="both"/>
              <w:rPr/>
            </w:pPr>
            <w:r>
              <w:rPr/>
              <w:t> </w:t>
            </w:r>
          </w:p>
        </w:tc>
        <w:tc>
          <w:tcPr>
            <w:tcW w:w="4450"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Sale and exchange of shares:</w:t>
            </w:r>
          </w:p>
        </w:tc>
      </w:tr>
      <w:tr>
        <w:trPr/>
        <w:tc>
          <w:tcPr>
            <w:tcW w:w="485" w:type="dxa"/>
            <w:tcBorders/>
            <w:vAlign w:val="center"/>
          </w:tcPr>
          <w:p>
            <w:pPr>
              <w:pStyle w:val="TableContents"/>
              <w:bidi w:val="0"/>
              <w:spacing w:before="0" w:after="283"/>
              <w:jc w:val="both"/>
              <w:rPr/>
            </w:pPr>
            <w:r>
              <w:rPr/>
              <w:t> </w:t>
            </w:r>
          </w:p>
        </w:tc>
        <w:tc>
          <w:tcPr>
            <w:tcW w:w="518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Hvis mere end 50% af aktiekapitalen i Selskabet bliver solgt (ikke tegnet eller udstedt) eller indgår i en aktieombytning,</w:t>
            </w:r>
          </w:p>
        </w:tc>
        <w:tc>
          <w:tcPr>
            <w:tcW w:w="90" w:type="dxa"/>
            <w:tcBorders/>
            <w:vAlign w:val="center"/>
          </w:tcPr>
          <w:p>
            <w:pPr>
              <w:pStyle w:val="TableContents"/>
              <w:bidi w:val="0"/>
              <w:spacing w:before="0" w:after="283"/>
              <w:jc w:val="both"/>
              <w:rPr/>
            </w:pPr>
            <w:r>
              <w:rPr/>
              <w:t> </w:t>
            </w:r>
          </w:p>
        </w:tc>
        <w:tc>
          <w:tcPr>
            <w:tcW w:w="445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more than 50 per cent of the share capital in the Company is sold (not subscribed or issued) or is part of a share swap,</w:t>
            </w:r>
          </w:p>
        </w:tc>
      </w:tr>
      <w:tr>
        <w:trPr/>
        <w:tc>
          <w:tcPr>
            <w:tcW w:w="485" w:type="dxa"/>
            <w:tcBorders/>
            <w:vAlign w:val="center"/>
          </w:tcPr>
          <w:p>
            <w:pPr>
              <w:pStyle w:val="TableContents"/>
              <w:bidi w:val="0"/>
              <w:spacing w:before="0" w:after="283"/>
              <w:jc w:val="both"/>
              <w:rPr/>
            </w:pPr>
            <w:r>
              <w:rPr/>
              <w:t> </w:t>
            </w:r>
          </w:p>
        </w:tc>
        <w:tc>
          <w:tcPr>
            <w:tcW w:w="128" w:type="dxa"/>
            <w:tcBorders/>
            <w:vAlign w:val="center"/>
          </w:tcPr>
          <w:p>
            <w:pPr>
              <w:pStyle w:val="TableContents"/>
              <w:bidi w:val="0"/>
              <w:spacing w:before="0" w:after="283"/>
              <w:jc w:val="both"/>
              <w:rPr/>
            </w:pPr>
            <w:r>
              <w:rPr/>
              <w:t>-</w:t>
            </w:r>
          </w:p>
        </w:tc>
        <w:tc>
          <w:tcPr>
            <w:tcW w:w="5052" w:type="dxa"/>
            <w:tcBorders/>
            <w:vAlign w:val="center"/>
          </w:tcPr>
          <w:p>
            <w:pPr>
              <w:pStyle w:val="TableContents"/>
              <w:bidi w:val="0"/>
              <w:spacing w:before="0" w:after="283"/>
              <w:jc w:val="both"/>
              <w:rPr/>
            </w:pPr>
            <w:r>
              <w:rPr/>
              <w:t>kan Warrantindehaveren umiddelbart inden salget/aktieombytningen udnytte alle ikke-udnyttede Warrants, der ikke er bortfaldet. Såfremt det erhvervende selskab tilbyder aktieinstrumenter i det erhvervende selskab af tilsvarende økonomisk værdi før skat kan Warrantindehaveren vælge i stedet at modtage sådanne aktieinstrumenter.</w:t>
            </w:r>
          </w:p>
        </w:tc>
        <w:tc>
          <w:tcPr>
            <w:tcW w:w="90" w:type="dxa"/>
            <w:tcBorders/>
            <w:vAlign w:val="center"/>
          </w:tcPr>
          <w:p>
            <w:pPr>
              <w:pStyle w:val="TableContents"/>
              <w:bidi w:val="0"/>
              <w:spacing w:before="0" w:after="283"/>
              <w:jc w:val="both"/>
              <w:rPr/>
            </w:pPr>
            <w:r>
              <w:rPr/>
              <w:t> </w:t>
            </w:r>
          </w:p>
        </w:tc>
        <w:tc>
          <w:tcPr>
            <w:tcW w:w="126" w:type="dxa"/>
            <w:tcBorders/>
            <w:vAlign w:val="center"/>
          </w:tcPr>
          <w:p>
            <w:pPr>
              <w:pStyle w:val="TableContents"/>
              <w:bidi w:val="0"/>
              <w:spacing w:before="0" w:after="283"/>
              <w:jc w:val="both"/>
              <w:rPr/>
            </w:pPr>
            <w:r>
              <w:rPr/>
              <w:t>-</w:t>
            </w:r>
          </w:p>
        </w:tc>
        <w:tc>
          <w:tcPr>
            <w:tcW w:w="4324" w:type="dxa"/>
            <w:tcBorders/>
            <w:vAlign w:val="center"/>
          </w:tcPr>
          <w:p>
            <w:pPr>
              <w:pStyle w:val="TableContents"/>
              <w:bidi w:val="0"/>
              <w:spacing w:before="0" w:after="283"/>
              <w:jc w:val="both"/>
              <w:rPr/>
            </w:pPr>
            <w:r>
              <w:rPr/>
              <w:t>the Warrantholder may exercise all non-exercised Warrants that are not declared null and void immediately before the sale/swap of shares. In the event that the acquiring company offers share instruments of a corresponding pre-tax value the Warrantholder may elect instead to replace the issued Warrants with such share instrument.</w:t>
            </w:r>
          </w:p>
        </w:tc>
      </w:tr>
      <w:tr>
        <w:trPr/>
        <w:tc>
          <w:tcPr>
            <w:tcW w:w="485" w:type="dxa"/>
            <w:tcBorders/>
            <w:vAlign w:val="center"/>
          </w:tcPr>
          <w:p>
            <w:pPr>
              <w:pStyle w:val="TableContents"/>
              <w:bidi w:val="0"/>
              <w:spacing w:before="0" w:after="283"/>
              <w:jc w:val="both"/>
              <w:rPr>
                <w:b/>
              </w:rPr>
            </w:pPr>
            <w:r>
              <w:rPr>
                <w:b/>
              </w:rPr>
              <w:t>5.11</w:t>
            </w:r>
          </w:p>
        </w:tc>
        <w:tc>
          <w:tcPr>
            <w:tcW w:w="5180" w:type="dxa"/>
            <w:gridSpan w:val="2"/>
            <w:tcBorders/>
            <w:vAlign w:val="center"/>
          </w:tcPr>
          <w:p>
            <w:pPr>
              <w:pStyle w:val="TableContents"/>
              <w:bidi w:val="0"/>
              <w:spacing w:before="0" w:after="283"/>
              <w:jc w:val="both"/>
              <w:rPr>
                <w:b/>
              </w:rPr>
            </w:pPr>
            <w:r>
              <w:rPr>
                <w:b/>
              </w:rPr>
              <w:t>Fælles bestemmelser vedrørende 5.8- 5.10:</w:t>
            </w:r>
          </w:p>
        </w:tc>
        <w:tc>
          <w:tcPr>
            <w:tcW w:w="90" w:type="dxa"/>
            <w:tcBorders/>
            <w:vAlign w:val="center"/>
          </w:tcPr>
          <w:p>
            <w:pPr>
              <w:pStyle w:val="TableContents"/>
              <w:bidi w:val="0"/>
              <w:spacing w:before="0" w:after="283"/>
              <w:jc w:val="both"/>
              <w:rPr/>
            </w:pPr>
            <w:r>
              <w:rPr/>
              <w:t> </w:t>
            </w:r>
          </w:p>
        </w:tc>
        <w:tc>
          <w:tcPr>
            <w:tcW w:w="4450" w:type="dxa"/>
            <w:gridSpan w:val="2"/>
            <w:tcBorders/>
            <w:vAlign w:val="center"/>
          </w:tcPr>
          <w:p>
            <w:pPr>
              <w:pStyle w:val="TableContents"/>
              <w:bidi w:val="0"/>
              <w:spacing w:before="0" w:after="283"/>
              <w:jc w:val="both"/>
              <w:rPr>
                <w:b/>
              </w:rPr>
            </w:pPr>
            <w:r>
              <w:rPr>
                <w:b/>
              </w:rPr>
              <w:t>Common provisions regarding 5.8- 5.10:</w:t>
            </w:r>
          </w:p>
        </w:tc>
      </w:tr>
      <w:tr>
        <w:trPr/>
        <w:tc>
          <w:tcPr>
            <w:tcW w:w="485" w:type="dxa"/>
            <w:tcBorders/>
            <w:vAlign w:val="center"/>
          </w:tcPr>
          <w:p>
            <w:pPr>
              <w:pStyle w:val="TableContents"/>
              <w:bidi w:val="0"/>
              <w:spacing w:before="0" w:after="283"/>
              <w:jc w:val="both"/>
              <w:rPr/>
            </w:pPr>
            <w:r>
              <w:rPr/>
              <w:t> </w:t>
            </w:r>
          </w:p>
        </w:tc>
        <w:tc>
          <w:tcPr>
            <w:tcW w:w="5180" w:type="dxa"/>
            <w:gridSpan w:val="2"/>
            <w:tcBorders/>
            <w:vAlign w:val="center"/>
          </w:tcPr>
          <w:p>
            <w:pPr>
              <w:pStyle w:val="TableContents"/>
              <w:bidi w:val="0"/>
              <w:spacing w:before="0" w:after="283"/>
              <w:jc w:val="both"/>
              <w:rPr/>
            </w:pPr>
            <w:r>
              <w:rPr/>
              <w:t>Selskabet er forpligtet til at give Warrantindehaveren skriftlig meddelelse, hvis en af de ovenfor nævnte transaktioner finder sted. Når Warrantindehaveren har modtaget den skriftlige meddelelse, har Warrantindehaveren – i de tilfælde, hvor Warrantindehaveren ekstraordinært kan udnytte Warrants, jf. 5.8-5.10 – 2 uger til skriftligt at informere Selskabet om, hvorvidt Warrantindehaveren vil gøre brug af tilbuddet. Hvis Warrantindehaveren ikke har givet Selskabet skriftligt svar inden 2-uger eller undlader at betale inden for den betalingsfrist, der er fastsat, bortfalder Warrants uden yderligere varsel og uden kompensation. Udnyttelsesprisen kan ikke komme under aktiernes nominelle værdi.</w:t>
            </w:r>
          </w:p>
        </w:tc>
        <w:tc>
          <w:tcPr>
            <w:tcW w:w="90" w:type="dxa"/>
            <w:tcBorders/>
            <w:vAlign w:val="center"/>
          </w:tcPr>
          <w:p>
            <w:pPr>
              <w:pStyle w:val="TableContents"/>
              <w:bidi w:val="0"/>
              <w:spacing w:before="0" w:after="283"/>
              <w:jc w:val="both"/>
              <w:rPr/>
            </w:pPr>
            <w:r>
              <w:rPr/>
              <w:t> </w:t>
            </w:r>
          </w:p>
        </w:tc>
        <w:tc>
          <w:tcPr>
            <w:tcW w:w="4450" w:type="dxa"/>
            <w:gridSpan w:val="2"/>
            <w:tcBorders/>
            <w:vAlign w:val="center"/>
          </w:tcPr>
          <w:p>
            <w:pPr>
              <w:pStyle w:val="TableContents"/>
              <w:bidi w:val="0"/>
              <w:spacing w:before="0" w:after="283"/>
              <w:jc w:val="both"/>
              <w:rPr/>
            </w:pPr>
            <w:r>
              <w:rPr/>
              <w:t>If one of the transactions mentioned above is made, the Company shall inform the Warrantholder hereof by written notice. Upon receipt of the written notice, the Warrantholder shall – in cases where the Warrantholder may extraordinarily exercise Warrants, see 5.8-5.10 –inform the Company in writing whether the Warrantholder will make use of the offer. If the Warrant-holder has not answered the Company in writing within 2 weeks or fails to pay within the fixed time, Warrants shall become null and void without further notice or compensation. The Exercise Price cannot go below the nominal value of the shares.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r>
        <w:rPr/>
        <w:drawing>
          <wp:inline distT="0" distB="0" distL="0" distR="0">
            <wp:extent cx="1181100" cy="39624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81100" cy="39624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2"/>
        <w:gridCol w:w="194"/>
        <w:gridCol w:w="4839"/>
        <w:gridCol w:w="90"/>
        <w:gridCol w:w="380"/>
        <w:gridCol w:w="4510"/>
      </w:tblGrid>
      <w:tr>
        <w:trPr/>
        <w:tc>
          <w:tcPr>
            <w:tcW w:w="192" w:type="dxa"/>
            <w:tcBorders/>
            <w:vAlign w:val="center"/>
          </w:tcPr>
          <w:p>
            <w:pPr>
              <w:pStyle w:val="TableContents"/>
              <w:bidi w:val="0"/>
              <w:spacing w:before="0" w:after="283"/>
              <w:jc w:val="both"/>
              <w:rPr/>
            </w:pPr>
            <w:r>
              <w:rPr/>
              <w:t> </w:t>
            </w:r>
          </w:p>
        </w:tc>
        <w:tc>
          <w:tcPr>
            <w:tcW w:w="5033"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Warrantindehaverens rettigheder i anledning af en beslutning truffet af et kompetent organ i selskabet, jf. 5.10-5.12, er betinget af, at den relevante beslutning efterfølgende registreres i Erhvervsstyrelsen, hvis registrering er en gyldighedsbetingelse.</w:t>
            </w:r>
          </w:p>
        </w:tc>
        <w:tc>
          <w:tcPr>
            <w:tcW w:w="90" w:type="dxa"/>
            <w:tcBorders/>
            <w:vAlign w:val="center"/>
          </w:tcPr>
          <w:p>
            <w:pPr>
              <w:pStyle w:val="TableContents"/>
              <w:bidi w:val="0"/>
              <w:spacing w:before="0" w:after="283"/>
              <w:jc w:val="both"/>
              <w:rPr/>
            </w:pPr>
            <w:r>
              <w:rPr/>
              <w:t> </w:t>
            </w:r>
          </w:p>
        </w:tc>
        <w:tc>
          <w:tcPr>
            <w:tcW w:w="489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Warrantholder’s rights in connection with decisions made by any competent company body, see clause 5.10-5.12, shall be contingent on subsequent registration of the relevant decision with the Danish Business Authority provided that registration is a condition of its validity.</w:t>
            </w:r>
          </w:p>
        </w:tc>
      </w:tr>
      <w:tr>
        <w:trPr/>
        <w:tc>
          <w:tcPr>
            <w:tcW w:w="192" w:type="dxa"/>
            <w:tcBorders/>
            <w:vAlign w:val="center"/>
          </w:tcPr>
          <w:p>
            <w:pPr>
              <w:pStyle w:val="TableContents"/>
              <w:bidi w:val="0"/>
              <w:spacing w:before="0" w:after="283"/>
              <w:jc w:val="both"/>
              <w:rPr>
                <w:b/>
              </w:rPr>
            </w:pPr>
            <w:r>
              <w:rPr>
                <w:b/>
              </w:rPr>
              <w:t>6.</w:t>
            </w:r>
          </w:p>
        </w:tc>
        <w:tc>
          <w:tcPr>
            <w:tcW w:w="5033"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TEGNING AF NYE AKTIER VED UDNYTTELSE AF WARRANTS</w:t>
            </w:r>
          </w:p>
        </w:tc>
        <w:tc>
          <w:tcPr>
            <w:tcW w:w="90" w:type="dxa"/>
            <w:tcBorders/>
            <w:vAlign w:val="center"/>
          </w:tcPr>
          <w:p>
            <w:pPr>
              <w:pStyle w:val="TableContents"/>
              <w:bidi w:val="0"/>
              <w:spacing w:before="0" w:after="283"/>
              <w:jc w:val="both"/>
              <w:rPr/>
            </w:pPr>
            <w:r>
              <w:rPr/>
              <w:t> </w:t>
            </w:r>
          </w:p>
        </w:tc>
        <w:tc>
          <w:tcPr>
            <w:tcW w:w="489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SUBSCRIPTION FOR NEW SHARES BY EXERCISE OF WARRANTS</w:t>
            </w:r>
          </w:p>
        </w:tc>
      </w:tr>
      <w:tr>
        <w:trPr/>
        <w:tc>
          <w:tcPr>
            <w:tcW w:w="192" w:type="dxa"/>
            <w:tcBorders/>
            <w:vAlign w:val="center"/>
          </w:tcPr>
          <w:p>
            <w:pPr>
              <w:pStyle w:val="TableContents"/>
              <w:bidi w:val="0"/>
              <w:spacing w:before="0" w:after="283"/>
              <w:jc w:val="both"/>
              <w:rPr/>
            </w:pPr>
            <w:r>
              <w:rPr/>
              <w:t> </w:t>
            </w:r>
          </w:p>
        </w:tc>
        <w:tc>
          <w:tcPr>
            <w:tcW w:w="5033"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 af nye aktier ved udnyttelse af tildelte Warrants finder sted ved, at Warrantindehaveren senest kl. 16:00 CET den sidste dag i Udnyttelsesperioden den 15. december 2026,</w:t>
            </w:r>
          </w:p>
        </w:tc>
        <w:tc>
          <w:tcPr>
            <w:tcW w:w="90" w:type="dxa"/>
            <w:tcBorders/>
            <w:vAlign w:val="center"/>
          </w:tcPr>
          <w:p>
            <w:pPr>
              <w:pStyle w:val="TableContents"/>
              <w:bidi w:val="0"/>
              <w:spacing w:before="0" w:after="283"/>
              <w:jc w:val="both"/>
              <w:rPr/>
            </w:pPr>
            <w:r>
              <w:rPr/>
              <w:t> </w:t>
            </w:r>
          </w:p>
        </w:tc>
        <w:tc>
          <w:tcPr>
            <w:tcW w:w="489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Subscription for new shares by exercise of issued Warrants must be made by the Warrantholder’s at the latest at 16:00 CET on 15 December 2026,</w:t>
            </w:r>
          </w:p>
        </w:tc>
      </w:tr>
      <w:tr>
        <w:trPr/>
        <w:tc>
          <w:tcPr>
            <w:tcW w:w="192" w:type="dxa"/>
            <w:tcBorders/>
            <w:vAlign w:val="center"/>
          </w:tcPr>
          <w:p>
            <w:pPr>
              <w:pStyle w:val="TableContents"/>
              <w:bidi w:val="0"/>
              <w:spacing w:before="0" w:after="283"/>
              <w:jc w:val="both"/>
              <w:rPr/>
            </w:pPr>
            <w:r>
              <w:rPr/>
              <w:t> </w:t>
            </w:r>
          </w:p>
        </w:tc>
        <w:tc>
          <w:tcPr>
            <w:tcW w:w="1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w:t>
            </w:r>
          </w:p>
        </w:tc>
        <w:tc>
          <w:tcPr>
            <w:tcW w:w="48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giver meddelelse til Selskabet eller Selskabets kontoførende institut herom ved indgivelse af Warrant Udnyttelsesmeddelelse udarbejdet af Selskabet eller Selskabets kontoførende institut indeholdende angivelse af hvor mange aktier, der ønskes tegnet, og</w:t>
            </w:r>
          </w:p>
        </w:tc>
        <w:tc>
          <w:tcPr>
            <w:tcW w:w="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 </w:t>
            </w:r>
          </w:p>
        </w:tc>
        <w:tc>
          <w:tcPr>
            <w:tcW w:w="45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submission to the Company or the Company’s custodian bank of a Warrant Exercise Notice made available by the Company or the Company’s custodian bank including information about the number of shares to be subscribed, and</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r>
        <w:rPr/>
        <w:drawing>
          <wp:inline distT="0" distB="0" distL="0" distR="0">
            <wp:extent cx="1181100" cy="39624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181100" cy="39624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0"/>
        <w:gridCol w:w="477"/>
        <w:gridCol w:w="4653"/>
        <w:gridCol w:w="90"/>
        <w:gridCol w:w="344"/>
        <w:gridCol w:w="4451"/>
      </w:tblGrid>
      <w:tr>
        <w:trPr/>
        <w:tc>
          <w:tcPr>
            <w:tcW w:w="190"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(ii) </w:t>
            </w:r>
          </w:p>
        </w:tc>
        <w:tc>
          <w:tcPr>
            <w:tcW w:w="465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foretager betaling til en af Selskabet eller Selskabets kontoførende institut angivet konto.</w:t>
            </w:r>
          </w:p>
        </w:tc>
        <w:tc>
          <w:tcPr>
            <w:tcW w:w="90"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(ii) </w:t>
            </w:r>
          </w:p>
        </w:tc>
        <w:tc>
          <w:tcPr>
            <w:tcW w:w="44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payment of the Exercise Price by the Warrantholder to the Company or the Company’s custodian bank.</w:t>
            </w:r>
          </w:p>
        </w:tc>
      </w:tr>
      <w:tr>
        <w:trPr/>
        <w:tc>
          <w:tcPr>
            <w:tcW w:w="190" w:type="dxa"/>
            <w:tcBorders/>
            <w:vAlign w:val="center"/>
          </w:tcPr>
          <w:p>
            <w:pPr>
              <w:pStyle w:val="TableContents"/>
              <w:bidi w:val="0"/>
              <w:spacing w:before="0" w:after="283"/>
              <w:jc w:val="left"/>
              <w:rPr/>
            </w:pPr>
            <w:r>
              <w:rPr/>
              <w:t> </w:t>
            </w:r>
          </w:p>
        </w:tc>
        <w:tc>
          <w:tcPr>
            <w:tcW w:w="51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 Udnyttelsesmeddelelsen skal afgives og betaling skal ske i overensstemmelse hermed.</w:t>
            </w:r>
          </w:p>
        </w:tc>
        <w:tc>
          <w:tcPr>
            <w:tcW w:w="90"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submission of the Warrant Exercise Notice and the payment of the Exercise Price must be made in accordance herewith.</w:t>
            </w:r>
          </w:p>
        </w:tc>
      </w:tr>
      <w:tr>
        <w:trPr/>
        <w:tc>
          <w:tcPr>
            <w:tcW w:w="190" w:type="dxa"/>
            <w:tcBorders/>
            <w:vAlign w:val="center"/>
          </w:tcPr>
          <w:p>
            <w:pPr>
              <w:pStyle w:val="TableContents"/>
              <w:bidi w:val="0"/>
              <w:spacing w:before="0" w:after="283"/>
              <w:jc w:val="left"/>
              <w:rPr/>
            </w:pPr>
            <w:r>
              <w:rPr/>
              <w:t> </w:t>
            </w:r>
          </w:p>
        </w:tc>
        <w:tc>
          <w:tcPr>
            <w:tcW w:w="5130" w:type="dxa"/>
            <w:gridSpan w:val="2"/>
            <w:tcBorders/>
            <w:vAlign w:val="center"/>
          </w:tcPr>
          <w:p>
            <w:pPr>
              <w:pStyle w:val="TableContents"/>
              <w:bidi w:val="0"/>
              <w:spacing w:before="0" w:after="283"/>
              <w:jc w:val="both"/>
              <w:rPr/>
            </w:pPr>
            <w:r>
              <w:rPr/>
              <w:t>Hvis den i punkt. 6.1 angivne frist overskrides, enten således at Udnyttelsesmeddelelsen i udfyldt stand eller betalingen ikke er Selskabet i hænde inden kl. 16 på den sidste dag i Udnyttelsesperioden, anses tegningen for ugyldig, og Warrantindehaveren kan i denne situation ikke anses for herved at have udnyttet sine warrants for en eventuel efterfølgende Udnyttelsesperiode.</w:t>
            </w:r>
          </w:p>
        </w:tc>
        <w:tc>
          <w:tcPr>
            <w:tcW w:w="90"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limitation period set forth in clause 6.1 expires as a result of the Company not having received the filled-in Warrant Exercise Notice or the payment by 16:00 of the last day of the Warrant Exercise Period, the subscription shall be deemed invalid, and in this situation the Warrantholder shall not be considered as having exercised his/her/its Warrants for a possible subsequent Warrant Exercise Period.</w:t>
            </w:r>
          </w:p>
        </w:tc>
      </w:tr>
      <w:tr>
        <w:trPr/>
        <w:tc>
          <w:tcPr>
            <w:tcW w:w="190" w:type="dxa"/>
            <w:tcBorders/>
            <w:vAlign w:val="center"/>
          </w:tcPr>
          <w:p>
            <w:pPr>
              <w:pStyle w:val="TableContents"/>
              <w:bidi w:val="0"/>
              <w:spacing w:before="0" w:after="283"/>
              <w:jc w:val="left"/>
              <w:rPr/>
            </w:pPr>
            <w:r>
              <w:rPr/>
              <w:t> </w:t>
            </w:r>
          </w:p>
        </w:tc>
        <w:tc>
          <w:tcPr>
            <w:tcW w:w="51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 warrants, som Warrantindehaveren ikke har udnyttet i den sidste dag i Udnyttelsesperioden, bortfalder uden yderligere varsel og uden kompensation.</w:t>
            </w:r>
          </w:p>
        </w:tc>
        <w:tc>
          <w:tcPr>
            <w:tcW w:w="90"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 not exercised by the Warrantholder prior to the last day in the Warrant Exercise Period shall become null and void without further notice and without compensation.</w:t>
            </w:r>
          </w:p>
        </w:tc>
      </w:tr>
      <w:tr>
        <w:trPr/>
        <w:tc>
          <w:tcPr>
            <w:tcW w:w="190" w:type="dxa"/>
            <w:tcBorders/>
            <w:vAlign w:val="center"/>
          </w:tcPr>
          <w:p>
            <w:pPr>
              <w:pStyle w:val="TableContents"/>
              <w:bidi w:val="0"/>
              <w:spacing w:before="0" w:after="283"/>
              <w:jc w:val="left"/>
              <w:rPr>
                <w:b/>
              </w:rPr>
            </w:pPr>
            <w:r>
              <w:rPr>
                <w:b/>
              </w:rPr>
              <w:t>7.</w:t>
            </w:r>
          </w:p>
        </w:tc>
        <w:tc>
          <w:tcPr>
            <w:tcW w:w="5130"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DE NYE ORDINÆRE AKTIERS RETTIGHEDER</w:t>
            </w:r>
          </w:p>
        </w:tc>
        <w:tc>
          <w:tcPr>
            <w:tcW w:w="90"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THE RIGHTS OF NEW ORDINARY SHARES</w:t>
            </w:r>
          </w:p>
        </w:tc>
      </w:tr>
      <w:tr>
        <w:trPr/>
        <w:tc>
          <w:tcPr>
            <w:tcW w:w="190" w:type="dxa"/>
            <w:tcBorders/>
            <w:vAlign w:val="center"/>
          </w:tcPr>
          <w:p>
            <w:pPr>
              <w:pStyle w:val="TableContents"/>
              <w:bidi w:val="0"/>
              <w:spacing w:before="0" w:after="283"/>
              <w:jc w:val="left"/>
              <w:rPr/>
            </w:pPr>
            <w:r>
              <w:rPr/>
              <w:t> </w:t>
            </w:r>
          </w:p>
        </w:tc>
        <w:tc>
          <w:tcPr>
            <w:tcW w:w="51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Udover de ovenfor anførte vilkår for den til de udstedte Warrants hørende kapitalforhøjelse gælder følgende vilkår:</w:t>
            </w:r>
          </w:p>
        </w:tc>
        <w:tc>
          <w:tcPr>
            <w:tcW w:w="90"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both"/>
              <w:rPr/>
            </w:pPr>
            <w:r>
              <w:rPr/>
              <w:t>In addition to the terms and conditions set forth above, the increase of the share capital relating to the Warrants granted shall be subject to the following terms and conditions:</w:t>
            </w:r>
          </w:p>
        </w:tc>
      </w:tr>
      <w:tr>
        <w:trPr/>
        <w:tc>
          <w:tcPr>
            <w:tcW w:w="190"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 </w:t>
            </w:r>
          </w:p>
        </w:tc>
        <w:tc>
          <w:tcPr>
            <w:tcW w:w="465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 nye aktier udstedes i aktier à DKK 1 eller multipla heraf,</w:t>
            </w:r>
          </w:p>
        </w:tc>
        <w:tc>
          <w:tcPr>
            <w:tcW w:w="90"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 </w:t>
            </w:r>
          </w:p>
        </w:tc>
        <w:tc>
          <w:tcPr>
            <w:tcW w:w="44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new shares will be divided into shares of nominally DKK 1 or multiples hereof;</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r>
        <w:rPr/>
        <w:drawing>
          <wp:inline distT="0" distB="0" distL="0" distR="0">
            <wp:extent cx="1181100" cy="39624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181100" cy="39624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5"/>
        <w:gridCol w:w="125"/>
        <w:gridCol w:w="5040"/>
        <w:gridCol w:w="90"/>
        <w:gridCol w:w="125"/>
        <w:gridCol w:w="4720"/>
      </w:tblGrid>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5040" w:type="dxa"/>
            <w:tcBorders/>
            <w:vAlign w:val="center"/>
          </w:tcPr>
          <w:p>
            <w:pPr>
              <w:pStyle w:val="TableContents"/>
              <w:bidi w:val="0"/>
              <w:spacing w:before="0" w:after="283"/>
              <w:jc w:val="both"/>
              <w:rPr/>
            </w:pPr>
            <w:r>
              <w:rPr/>
              <w:t>De nye aktier skal give ret til udbytte i selskabet for det løbende regnskabsår, hvori aktierne tegnes, på lige fod med de eksisterende aktier og andre rettigheder i selskabet fra og med datoen for tegningen af aktierne,</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47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new shares will carry dividend rights for the financial year in which subscription takes place on equal terms with the existing shares as well as other rights in the company as from the day of subscription of the shares;</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5040" w:type="dxa"/>
            <w:tcBorders/>
            <w:vAlign w:val="center"/>
          </w:tcPr>
          <w:p>
            <w:pPr>
              <w:pStyle w:val="TableContents"/>
              <w:bidi w:val="0"/>
              <w:spacing w:before="0" w:after="283"/>
              <w:jc w:val="both"/>
              <w:rPr/>
            </w:pPr>
            <w:r>
              <w:rPr/>
              <w:t>De nye aktier skal tilhøre samme aktieklasse, som de eksisterende aktier i selskabet,</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47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new shares shall belong to the same share class as the existing shares in the company;</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5040" w:type="dxa"/>
            <w:tcBorders/>
            <w:vAlign w:val="center"/>
          </w:tcPr>
          <w:p>
            <w:pPr>
              <w:pStyle w:val="TableContents"/>
              <w:bidi w:val="0"/>
              <w:spacing w:before="0" w:after="283"/>
              <w:jc w:val="both"/>
              <w:rPr/>
            </w:pPr>
            <w:r>
              <w:rPr/>
              <w:t>Kapitalforhøjelsen sker uden fortegningsret for de eksisterende aktionærer, idet tegningen sker på baggrund af Warrants udstedt til Warrantindehaveren,</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47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capital increase shall be made without any pre-emption rights for the existing shareholders, given that the subscription is based on Warrants issued to the Warrantholder;</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5040" w:type="dxa"/>
            <w:tcBorders/>
            <w:vAlign w:val="center"/>
          </w:tcPr>
          <w:p>
            <w:pPr>
              <w:pStyle w:val="TableContents"/>
              <w:bidi w:val="0"/>
              <w:spacing w:before="0" w:after="283"/>
              <w:jc w:val="both"/>
              <w:rPr/>
            </w:pPr>
            <w:r>
              <w:rPr/>
              <w:t>Der skal ikke gælde indskrænkninger i den til de nye aktiers knyttede fortegningsret ved fremtidige kapitalforhøjelser,</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47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pre-emption rights attached to the new shares shall not be subject to any restrictions in the event of future capital increases;</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5040" w:type="dxa"/>
            <w:tcBorders/>
            <w:vAlign w:val="center"/>
          </w:tcPr>
          <w:p>
            <w:pPr>
              <w:pStyle w:val="TableContents"/>
              <w:bidi w:val="0"/>
              <w:spacing w:before="0" w:after="283"/>
              <w:jc w:val="both"/>
              <w:rPr/>
            </w:pPr>
            <w:r>
              <w:rPr/>
              <w:t>Fristen for tegning af de nye aktier beregnes på baggrund af bestemmelserne ovenfor,</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47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deadline for subscription of the new shares shall be calculated pursuant to the provisions set forth above;</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5040" w:type="dxa"/>
            <w:tcBorders/>
            <w:vAlign w:val="center"/>
          </w:tcPr>
          <w:p>
            <w:pPr>
              <w:pStyle w:val="TableContents"/>
              <w:bidi w:val="0"/>
              <w:spacing w:before="0" w:after="283"/>
              <w:jc w:val="both"/>
              <w:rPr/>
            </w:pPr>
            <w:r>
              <w:rPr/>
              <w:t>Det fulde beløb til tegning af det antal aktier, som ønskes tegnet, skal indbetales kontant og senest samtidig med tegningen af de pågældende aktier, og</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4720" w:type="dxa"/>
            <w:tcBorders/>
            <w:vAlign w:val="center"/>
          </w:tcPr>
          <w:p>
            <w:pPr>
              <w:pStyle w:val="TableContents"/>
              <w:bidi w:val="0"/>
              <w:spacing w:before="0" w:after="283"/>
              <w:jc w:val="both"/>
              <w:rPr/>
            </w:pPr>
            <w:r>
              <w:rPr/>
              <w:t>The full subscription amount for the number of shares which are to be subscribed, shall be paid in cash no later than on the day of subscription of the shares in question; and</w:t>
            </w:r>
          </w:p>
        </w:tc>
      </w:tr>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5040" w:type="dxa"/>
            <w:tcBorders/>
            <w:vAlign w:val="center"/>
          </w:tcPr>
          <w:p>
            <w:pPr>
              <w:pStyle w:val="TableContents"/>
              <w:bidi w:val="0"/>
              <w:spacing w:before="0" w:after="283"/>
              <w:jc w:val="both"/>
              <w:rPr/>
            </w:pPr>
            <w:r>
              <w:rPr/>
              <w:t>De nye aktier skal lyde på navn, noteres i selskabets ejerbog og være omsætningspapirer.</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4720" w:type="dxa"/>
            <w:tcBorders/>
            <w:vAlign w:val="center"/>
          </w:tcPr>
          <w:p>
            <w:pPr>
              <w:pStyle w:val="TableContents"/>
              <w:bidi w:val="0"/>
              <w:spacing w:before="0" w:after="283"/>
              <w:jc w:val="both"/>
              <w:rPr/>
            </w:pPr>
            <w:r>
              <w:rPr/>
              <w:t>The new shares shall be made out in the name of the holder, be recorded in the company’s register of shareholders and be negotiable instruments.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r>
        <w:rPr/>
        <w:drawing>
          <wp:inline distT="0" distB="0" distL="0" distR="0">
            <wp:extent cx="1181100" cy="39624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181100" cy="39624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3"/>
        <w:gridCol w:w="5085"/>
        <w:gridCol w:w="90"/>
        <w:gridCol w:w="4837"/>
      </w:tblGrid>
      <w:tr>
        <w:trPr/>
        <w:tc>
          <w:tcPr>
            <w:tcW w:w="193" w:type="dxa"/>
            <w:tcBorders/>
            <w:vAlign w:val="center"/>
          </w:tcPr>
          <w:p>
            <w:pPr>
              <w:pStyle w:val="TableContents"/>
              <w:bidi w:val="0"/>
              <w:spacing w:before="0" w:after="283"/>
              <w:jc w:val="left"/>
              <w:rPr/>
            </w:pPr>
            <w:r>
              <w:rPr/>
              <w:t> </w:t>
            </w:r>
          </w:p>
        </w:tc>
        <w:tc>
          <w:tcPr>
            <w:tcW w:w="5085" w:type="dxa"/>
            <w:tcBorders/>
            <w:vAlign w:val="center"/>
          </w:tcPr>
          <w:p>
            <w:pPr>
              <w:pStyle w:val="TableContents"/>
              <w:bidi w:val="0"/>
              <w:spacing w:before="0" w:after="283"/>
              <w:jc w:val="both"/>
              <w:rPr/>
            </w:pPr>
            <w:r>
              <w:rPr/>
              <w:t>Selskabet afholder omkostninger i forbindelse med udstedelsen af Warrants og senere udnyttelse heraf. Selskabets omkostninger forbundet med udstedelsen af Warrants og den hertil hørende kapitalforhøjelse anslås til DKK 10.000.</w:t>
            </w:r>
          </w:p>
        </w:tc>
        <w:tc>
          <w:tcPr>
            <w:tcW w:w="90" w:type="dxa"/>
            <w:tcBorders/>
            <w:vAlign w:val="center"/>
          </w:tcPr>
          <w:p>
            <w:pPr>
              <w:pStyle w:val="TableContents"/>
              <w:bidi w:val="0"/>
              <w:spacing w:before="0" w:after="283"/>
              <w:jc w:val="left"/>
              <w:rPr/>
            </w:pPr>
            <w:r>
              <w:rPr/>
              <w:t> </w:t>
            </w:r>
          </w:p>
        </w:tc>
        <w:tc>
          <w:tcPr>
            <w:tcW w:w="48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shall pay all costs connected with granting of Warrants and later exercise thereof. The Company’s costs in connection with issue of Warrants and the related capital increase are estimated to DKK 10,000.</w:t>
            </w:r>
          </w:p>
        </w:tc>
      </w:tr>
      <w:tr>
        <w:trPr/>
        <w:tc>
          <w:tcPr>
            <w:tcW w:w="193" w:type="dxa"/>
            <w:tcBorders/>
            <w:vAlign w:val="center"/>
          </w:tcPr>
          <w:p>
            <w:pPr>
              <w:pStyle w:val="TableContents"/>
              <w:bidi w:val="0"/>
              <w:spacing w:before="0" w:after="283"/>
              <w:jc w:val="left"/>
              <w:rPr>
                <w:b/>
              </w:rPr>
            </w:pPr>
            <w:r>
              <w:rPr>
                <w:b/>
              </w:rPr>
              <w:t>8.</w:t>
            </w:r>
          </w:p>
        </w:tc>
        <w:tc>
          <w:tcPr>
            <w:tcW w:w="508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SKATTEMÆSSIGE KONUSDVENSER</w:t>
            </w:r>
          </w:p>
        </w:tc>
        <w:tc>
          <w:tcPr>
            <w:tcW w:w="90" w:type="dxa"/>
            <w:tcBorders/>
            <w:vAlign w:val="center"/>
          </w:tcPr>
          <w:p>
            <w:pPr>
              <w:pStyle w:val="TableContents"/>
              <w:bidi w:val="0"/>
              <w:spacing w:before="0" w:after="283"/>
              <w:jc w:val="left"/>
              <w:rPr/>
            </w:pPr>
            <w:r>
              <w:rPr/>
              <w:t> </w:t>
            </w:r>
          </w:p>
        </w:tc>
        <w:tc>
          <w:tcPr>
            <w:tcW w:w="4837"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TAX CONSEQUENCES</w:t>
            </w:r>
          </w:p>
        </w:tc>
      </w:tr>
      <w:tr>
        <w:trPr/>
        <w:tc>
          <w:tcPr>
            <w:tcW w:w="193" w:type="dxa"/>
            <w:tcBorders/>
            <w:vAlign w:val="center"/>
          </w:tcPr>
          <w:p>
            <w:pPr>
              <w:pStyle w:val="TableContents"/>
              <w:bidi w:val="0"/>
              <w:spacing w:before="0" w:after="283"/>
              <w:jc w:val="left"/>
              <w:rPr/>
            </w:pPr>
            <w:r>
              <w:rPr/>
              <w:t> </w:t>
            </w:r>
          </w:p>
        </w:tc>
        <w:tc>
          <w:tcPr>
            <w:tcW w:w="50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 skattemæssige konsekvenser forbundet med Warrantindehaverens tegning eller udnyttelse af Warrants er Selskabet uvedkommende.</w:t>
            </w:r>
          </w:p>
        </w:tc>
        <w:tc>
          <w:tcPr>
            <w:tcW w:w="90" w:type="dxa"/>
            <w:tcBorders/>
            <w:vAlign w:val="center"/>
          </w:tcPr>
          <w:p>
            <w:pPr>
              <w:pStyle w:val="TableContents"/>
              <w:bidi w:val="0"/>
              <w:spacing w:before="0" w:after="283"/>
              <w:jc w:val="left"/>
              <w:rPr/>
            </w:pPr>
            <w:r>
              <w:rPr/>
              <w:t> </w:t>
            </w:r>
          </w:p>
        </w:tc>
        <w:tc>
          <w:tcPr>
            <w:tcW w:w="48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tax implications connected to the Warrantholder’s subscription for or exercise of Warrants shall be of no concern to the Company.</w:t>
            </w:r>
          </w:p>
        </w:tc>
      </w:tr>
      <w:tr>
        <w:trPr/>
        <w:tc>
          <w:tcPr>
            <w:tcW w:w="193" w:type="dxa"/>
            <w:tcBorders/>
            <w:vAlign w:val="center"/>
          </w:tcPr>
          <w:p>
            <w:pPr>
              <w:pStyle w:val="TableContents"/>
              <w:bidi w:val="0"/>
              <w:spacing w:before="0" w:after="283"/>
              <w:jc w:val="left"/>
              <w:rPr>
                <w:b/>
              </w:rPr>
            </w:pPr>
            <w:r>
              <w:rPr>
                <w:b/>
              </w:rPr>
              <w:t>9.</w:t>
            </w:r>
          </w:p>
        </w:tc>
        <w:tc>
          <w:tcPr>
            <w:tcW w:w="508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LOVVALG OG VÆRNETING</w:t>
            </w:r>
          </w:p>
        </w:tc>
        <w:tc>
          <w:tcPr>
            <w:tcW w:w="90" w:type="dxa"/>
            <w:tcBorders/>
            <w:vAlign w:val="center"/>
          </w:tcPr>
          <w:p>
            <w:pPr>
              <w:pStyle w:val="TableContents"/>
              <w:bidi w:val="0"/>
              <w:spacing w:before="0" w:after="283"/>
              <w:jc w:val="left"/>
              <w:rPr/>
            </w:pPr>
            <w:r>
              <w:rPr/>
              <w:t> </w:t>
            </w:r>
          </w:p>
        </w:tc>
        <w:tc>
          <w:tcPr>
            <w:tcW w:w="4837"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LAW AND VENUE</w:t>
            </w:r>
          </w:p>
        </w:tc>
      </w:tr>
      <w:tr>
        <w:trPr/>
        <w:tc>
          <w:tcPr>
            <w:tcW w:w="193" w:type="dxa"/>
            <w:tcBorders/>
            <w:vAlign w:val="center"/>
          </w:tcPr>
          <w:p>
            <w:pPr>
              <w:pStyle w:val="TableContents"/>
              <w:bidi w:val="0"/>
              <w:spacing w:before="0" w:after="283"/>
              <w:jc w:val="left"/>
              <w:rPr/>
            </w:pPr>
            <w:r>
              <w:rPr/>
              <w:t> </w:t>
            </w:r>
          </w:p>
        </w:tc>
        <w:tc>
          <w:tcPr>
            <w:tcW w:w="50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Tegningen af Warrants, vilkårene herfor og udnyttelsen, og vilkårene for senere tegning af aktier i Selskabet skal reguleres af dansk ret.</w:t>
            </w:r>
          </w:p>
        </w:tc>
        <w:tc>
          <w:tcPr>
            <w:tcW w:w="90" w:type="dxa"/>
            <w:tcBorders/>
            <w:vAlign w:val="center"/>
          </w:tcPr>
          <w:p>
            <w:pPr>
              <w:pStyle w:val="TableContents"/>
              <w:bidi w:val="0"/>
              <w:spacing w:before="0" w:after="283"/>
              <w:jc w:val="left"/>
              <w:rPr/>
            </w:pPr>
            <w:r>
              <w:rPr/>
              <w:t> </w:t>
            </w:r>
          </w:p>
        </w:tc>
        <w:tc>
          <w:tcPr>
            <w:tcW w:w="48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Acceptance of Warrants, the terms and conditions thereto and the exercise, and terms and conditions for future subscription for shares in the Company shall be governed by Danish law.</w:t>
            </w:r>
          </w:p>
        </w:tc>
      </w:tr>
      <w:tr>
        <w:trPr/>
        <w:tc>
          <w:tcPr>
            <w:tcW w:w="193" w:type="dxa"/>
            <w:tcBorders/>
            <w:vAlign w:val="center"/>
          </w:tcPr>
          <w:p>
            <w:pPr>
              <w:pStyle w:val="TableContents"/>
              <w:bidi w:val="0"/>
              <w:spacing w:before="0" w:after="283"/>
              <w:jc w:val="left"/>
              <w:rPr/>
            </w:pPr>
            <w:r>
              <w:rPr/>
              <w:t> </w:t>
            </w:r>
          </w:p>
        </w:tc>
        <w:tc>
          <w:tcPr>
            <w:tcW w:w="5085" w:type="dxa"/>
            <w:tcBorders/>
            <w:vAlign w:val="center"/>
          </w:tcPr>
          <w:p>
            <w:pPr>
              <w:pStyle w:val="TableContents"/>
              <w:bidi w:val="0"/>
              <w:spacing w:before="0" w:after="283"/>
              <w:jc w:val="both"/>
              <w:rPr/>
            </w:pPr>
            <w:r>
              <w:rPr/>
              <w:t>Hvis der måtte opstå en tvist mellem Warrantindehaveren og Selskabet i relation til forståelsen eller gennemførelsen af warrantprogrammet, skal denne søges bilagt i mindelighed ved en forhandling mellem parterne.</w:t>
            </w:r>
          </w:p>
        </w:tc>
        <w:tc>
          <w:tcPr>
            <w:tcW w:w="90" w:type="dxa"/>
            <w:tcBorders/>
            <w:vAlign w:val="center"/>
          </w:tcPr>
          <w:p>
            <w:pPr>
              <w:pStyle w:val="TableContents"/>
              <w:bidi w:val="0"/>
              <w:spacing w:before="0" w:after="283"/>
              <w:jc w:val="left"/>
              <w:rPr/>
            </w:pPr>
            <w:r>
              <w:rPr/>
              <w:t> </w:t>
            </w:r>
          </w:p>
        </w:tc>
        <w:tc>
          <w:tcPr>
            <w:tcW w:w="48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disagreement between the Warrantholder and the Company in relation to the understanding or implementation of the warrant scheme shall be settled amicably by negotiation between the parties.</w:t>
            </w:r>
          </w:p>
        </w:tc>
      </w:tr>
      <w:tr>
        <w:trPr/>
        <w:tc>
          <w:tcPr>
            <w:tcW w:w="193" w:type="dxa"/>
            <w:tcBorders/>
            <w:vAlign w:val="center"/>
          </w:tcPr>
          <w:p>
            <w:pPr>
              <w:pStyle w:val="TableContents"/>
              <w:bidi w:val="0"/>
              <w:spacing w:before="0" w:after="283"/>
              <w:jc w:val="left"/>
              <w:rPr/>
            </w:pPr>
            <w:r>
              <w:rPr/>
              <w:t> </w:t>
            </w:r>
          </w:p>
        </w:tc>
        <w:tc>
          <w:tcPr>
            <w:tcW w:w="50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Hvis parterne ikke kan opnå enighed, skal eventuelle tvister afgøres ved de almindelige danske domstole.</w:t>
            </w:r>
          </w:p>
        </w:tc>
        <w:tc>
          <w:tcPr>
            <w:tcW w:w="90" w:type="dxa"/>
            <w:tcBorders/>
            <w:vAlign w:val="center"/>
          </w:tcPr>
          <w:p>
            <w:pPr>
              <w:pStyle w:val="TableContents"/>
              <w:bidi w:val="0"/>
              <w:spacing w:before="0" w:after="283"/>
              <w:jc w:val="left"/>
              <w:rPr/>
            </w:pPr>
            <w:r>
              <w:rPr/>
              <w:t> </w:t>
            </w:r>
          </w:p>
        </w:tc>
        <w:tc>
          <w:tcPr>
            <w:tcW w:w="48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parties fail to reach consensus, any disputes shall be settled by the ordinary Danish courts.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1181100" cy="39624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181100" cy="396240"/>
                    </a:xfrm>
                    <a:prstGeom prst="rect">
                      <a:avLst/>
                    </a:prstGeom>
                  </pic:spPr>
                </pic:pic>
              </a:graphicData>
            </a:graphic>
          </wp:inline>
        </w:drawing>
      </w: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Exercise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Evaxion Biotech A/S</w:t>
        <w:br/>
        <w:t xml:space="preserve">E-mail: </w:t>
      </w:r>
      <w:r>
        <w:rPr>
          <w:rFonts w:ascii="Times New Roman;Times;Serif" w:hAnsi="Times New Roman;Times;Serif"/>
          <w:b w:val="false"/>
          <w:i w:val="false"/>
          <w:caps w:val="false"/>
          <w:smallCaps w:val="false"/>
          <w:sz w:val="20"/>
          <w:u w:val="single"/>
        </w:rPr>
        <w:t>ms@msoegaard.dk</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cka@evaxion-biotech.com</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llj@mazanti.dk</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4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warrantholder hereby gives notice to Evaxion Biotech A/S that the undersigned wishes to exercise [insert number] warrants, issued on terms and conditions set out in Appendix 6 ("Appendix 6") in Evaxion Biotech A/S's articles of association, a copy of which was filed by Evaxion Biotech A/S with the U.S. Securities and Exchange Commission on           December 2023, against cash payment of an exercise price of [insert amount corresponding to number of warrants multiplied by the exercise price] to an account designated in writing (no later than one Trading Day (as such term is defined in Appendix 6) after the date hereof) by Evaxion Biotech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name of warrantholder]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 TO SUBSCRIBE FOR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REPRESENTED BY 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EVAXION BIOTECH A/S</w:t>
      </w:r>
    </w:p>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2525"/>
        <w:gridCol w:w="3695"/>
      </w:tblGrid>
      <w:tr>
        <w:trPr/>
        <w:tc>
          <w:tcPr>
            <w:tcW w:w="2525" w:type="dxa"/>
            <w:tcBorders/>
            <w:vAlign w:val="center"/>
          </w:tcPr>
          <w:p>
            <w:pPr>
              <w:pStyle w:val="TableContents"/>
              <w:bidi w:val="0"/>
              <w:spacing w:before="0" w:after="283"/>
              <w:jc w:val="left"/>
              <w:rPr/>
            </w:pPr>
            <w:r>
              <w:rPr/>
              <w:t>Warrant ADSs: 2,992,500</w:t>
            </w:r>
          </w:p>
        </w:tc>
        <w:tc>
          <w:tcPr>
            <w:tcW w:w="3695" w:type="dxa"/>
            <w:tcBorders/>
            <w:vAlign w:val="center"/>
          </w:tcPr>
          <w:p>
            <w:pPr>
              <w:pStyle w:val="TableContents"/>
              <w:bidi w:val="0"/>
              <w:spacing w:before="0" w:after="283"/>
              <w:jc w:val="both"/>
              <w:rPr/>
            </w:pPr>
            <w:r>
              <w:rPr/>
              <w:t>Initial Exercise Date: February 5,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PREFUNDED WARRANT TO SUBSCRIBE FOR ORDINARY SHARES REPRESENTED BY AMERICAN DEPOSITARY SHARES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until this Warrant is exercised in full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Evaxion Biotech A/S, a public limited liability company incorporated under the laws of the Kingdom of Denmark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29,925,000 Ordinary Shares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represented by 2,992,500 ADSs (the “</w:t>
      </w:r>
      <w:r>
        <w:rPr>
          <w:rFonts w:ascii="Times New Roman;Times;Serif" w:hAnsi="Times New Roman;Times;Serif"/>
          <w:b w:val="false"/>
          <w:i w:val="false"/>
          <w:caps w:val="false"/>
          <w:smallCaps w:val="false"/>
          <w:sz w:val="20"/>
          <w:u w:val="single"/>
        </w:rPr>
        <w:t>Warrant ADSs</w:t>
      </w:r>
      <w:r>
        <w:rPr>
          <w:rFonts w:ascii="Times New Roman;Times;Serif" w:hAnsi="Times New Roman;Times;Serif"/>
          <w:b w:val="false"/>
          <w:i w:val="false"/>
          <w:caps w:val="false"/>
          <w:smallCaps w:val="false"/>
          <w:sz w:val="20"/>
        </w:rPr>
        <w:t>”), as subject to adjustment hereunder. The subscription price of one Warrant ADS under this Warrant shall be equal to the Exercise Price, as defined in Section 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Warrant, the following terms have the meanings indicated in this Section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means American Depositary Shares issued pursuant to the Deposit Agreement, each representing ten (10)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or national holiday in the United States or Denmark or any day on which banking institutions in the State of New York or Denmark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and Copenhagen, Denmark are generally open for use by customers on such day or other governmental action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Danish Counsel</w:t>
      </w:r>
      <w:r>
        <w:rPr>
          <w:rFonts w:ascii="Times New Roman;Times;Serif" w:hAnsi="Times New Roman;Times;Serif"/>
          <w:b w:val="false"/>
          <w:i w:val="false"/>
          <w:caps w:val="false"/>
          <w:smallCaps w:val="false"/>
          <w:sz w:val="20"/>
        </w:rPr>
        <w:t>” means Mazanti-Andersen, Amaliegade 10 1256 Copenhagen K, Denmark, or any successor Danish counsel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means the Deposit Agreement, dated as of February 4, 2021, among the Company, The Bank of New York Mellon as Depositary and the owners and holders of ADSs from time to time, as such agreement may be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The Bank of New York Mellon and any successor depositary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ordinary shares of the Company, DKK 1 nominal value per share,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means the securities purchase agreement, dated as of February 1, 2024, by and between the Company and each of the purchasers signatory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Company’s registration statement on Form F-1 (File No. 333-276505).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Ordinary Shares and/or ADSs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Computershare A/S, the current transfer agent of the Company, with a mailing address of Lottenborgvej 26 D, 1., DK-2800 Kgs. Lyngby, Denmark and company registration number (CVR) no. 27088899,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L.P. (based on a Trading Day from 9:30 a.m. (New York City time) to 4:02 p.m. (New York City time)), (b) if OTCQB Venture Market (“</w:t>
      </w:r>
      <w:r>
        <w:rPr>
          <w:rFonts w:ascii="Times New Roman;Times;Serif" w:hAnsi="Times New Roman;Times;Serif"/>
          <w:b w:val="false"/>
          <w:i w:val="false"/>
          <w:caps w:val="false"/>
          <w:smallCaps w:val="false"/>
          <w:sz w:val="20"/>
          <w:u w:val="single"/>
        </w:rPr>
        <w:t>OTCQB</w:t>
      </w:r>
      <w:r>
        <w:rPr>
          <w:rFonts w:ascii="Times New Roman;Times;Serif" w:hAnsi="Times New Roman;Times;Serif"/>
          <w:b w:val="false"/>
          <w:i w:val="false"/>
          <w:caps w:val="false"/>
          <w:smallCaps w:val="false"/>
          <w:sz w:val="20"/>
        </w:rPr>
        <w:t>”) or OTCQX Best Market (“</w:t>
      </w:r>
      <w:r>
        <w:rPr>
          <w:rFonts w:ascii="Times New Roman;Times;Serif" w:hAnsi="Times New Roman;Times;Serif"/>
          <w:b w:val="false"/>
          <w:i w:val="false"/>
          <w:caps w:val="false"/>
          <w:smallCaps w:val="false"/>
          <w:sz w:val="20"/>
          <w:u w:val="single"/>
        </w:rPr>
        <w:t>OTCQX</w:t>
      </w:r>
      <w:r>
        <w:rPr>
          <w:rFonts w:ascii="Times New Roman;Times;Serif" w:hAnsi="Times New Roman;Times;Serif"/>
          <w:b w:val="false"/>
          <w:i w:val="false"/>
          <w:caps w:val="false"/>
          <w:smallCaps w:val="false"/>
          <w:sz w:val="20"/>
        </w:rPr>
        <w:t>”) is not a Trading Market, the volume weighted average price of the ADSs for such date (or the nearest preceding date) on OTCQB or OTCQX as applicable, (c) if the ADSs are not then listed or quoted for trading on OTCQB or OTCQX and if prices for the ADSs are then reported in the “Pink” Open Market (“</w:t>
      </w:r>
      <w:r>
        <w:rPr>
          <w:rFonts w:ascii="Times New Roman;Times;Serif" w:hAnsi="Times New Roman;Times;Serif"/>
          <w:b w:val="false"/>
          <w:i w:val="false"/>
          <w:caps w:val="false"/>
          <w:smallCaps w:val="false"/>
          <w:sz w:val="20"/>
          <w:u w:val="single"/>
        </w:rPr>
        <w:t>Pink Market</w:t>
      </w:r>
      <w:r>
        <w:rPr>
          <w:rFonts w:ascii="Times New Roman;Times;Serif" w:hAnsi="Times New Roman;Times;Serif"/>
          <w:b w:val="false"/>
          <w:i w:val="false"/>
          <w:caps w:val="false"/>
          <w:smallCaps w:val="false"/>
          <w:sz w:val="20"/>
        </w:rPr>
        <w:t>”) operated by OTC Markets, Inc. (or a similar organization or agency succeeding to its functions of reporting prices), the most recent bid price per ADS so reported, or (d) in all other cases, the fair market value of an ADS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This Warrant may be exercised,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On the Trading Day (based on New York City time) on which the delivery of the Notice of Exercise occurs, the Holder shall deliver to the Company Danish Counsel the aggregate Exercise Price for the Warrant ADSs specified in the applicable Notice of Exercise by wire transfer to the Company Danish Counsel pursuant to the bank wire transfer instructions set forth on the Notice of Exercise attached hereto.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subscribed for all of the Warrant ADSs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the subscription of a portion of the total number of Warrant ADSs available hereunder shall have the effect of reducing the outstanding number of Warrant ADSs purchasable hereunder in an amount equal to the applicable number of Warrant ADSs subscribed. The Company shall record the number of Warrants issued to the Holder and the number of Warrant ADSs subscribed through exercise and the date of such subscription of the Warrant ADSs. The Company shall deliver any objection to any Notice of Exercise within one (1) Trading Day of receipt of such notice. The Holder and any assignee, by acceptance of this Warrant, acknowledge and agree that, by reason of the provisions of this paragraph, following the subscription for a portion of the Warrant ADSs hereunder, the number of Warrant ADSs available for subscription hereunder at any given time may be less than the amount stated on the face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aggregate exercise price of this Warrant, except for a nominal exercise price of $1.4537 per Warrant ADS, was pre-funded to the Company on or prior to the Initial Exercise Date and, consequently, no additional consideration (other than the nominal exercise price of $1.4537 per Warrant ADS)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Warrant ADS under this Warrant shall be $1.4537,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Exercise Price paid by the Holder be less than the amount in US dollars (rounded to four decimal places) equal to 10 Danish Krone, at the exchange rate published by the Danish National Bank, on the date of the Holder’s delivery of the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Unavailability of Registration Statement</w:t>
      </w:r>
      <w:r>
        <w:rPr>
          <w:rFonts w:ascii="Times New Roman;Times;Serif" w:hAnsi="Times New Roman;Times;Serif"/>
          <w:b w:val="false"/>
          <w:i w:val="false"/>
          <w:caps w:val="false"/>
          <w:smallCaps w:val="false"/>
          <w:sz w:val="20"/>
        </w:rPr>
        <w:t>. Notwithstanding anything to the contrary contained herein, if there is no effective registration statement registering, or the prospectus contained therein is not available for, the sale of all of Warrant ADSs, representing the underlying Warrant Shares, issuable under this Warrant at any time following the Initial Exercise Date and ending on the Termination Date, the Holder shall be permitted to exercise this Warrant by delivery of a Notice of Exercise to the Company, and, within one (1) Trading Day (based on New York City time) following the delivery of such Notice of Exercise, deliver to the Company Danish Counsel the aggregate Exercise Price with respect to such exercise of this Warrant. Upon delivery by the Holder of a Notice of Exercise during a Registration Failure Period (as defined below) and the timely payment by the Holder of the aggregate Exercise Price, the Company shall be required to (1) pay in cash to the Holder on each Trading Day during the Registration Failure Period an amount equal to 1.0% of the product of (A) the number of Warrant ADSs subject to the exercise by the Holder pursuant to the immediately preceding sentence and (B) the VWAP of the ADSs on the date of delivery of the Notice of Exercise to the Company, and (2) on the Trading Day immediately following the date on which the Registration Failure Period ends, deliver all of the Warrant ADSs required to be delivered pursuant to such Notice of Exercise by crediting the account of the Holder’s prime broker with The Depository Trust Company through DWAC (as defined below). The Company shall pay any cash amounts owed pursuant to clause (1) of the immediately preceding sentence on each corresponding Trading Day during the Registration Failure Period. As used herein, “</w:t>
      </w:r>
      <w:r>
        <w:rPr>
          <w:rFonts w:ascii="Times New Roman;Times;Serif" w:hAnsi="Times New Roman;Times;Serif"/>
          <w:b w:val="false"/>
          <w:i w:val="false"/>
          <w:caps w:val="false"/>
          <w:smallCaps w:val="false"/>
          <w:sz w:val="20"/>
          <w:u w:val="single"/>
        </w:rPr>
        <w:t>Registration Failure Period</w:t>
      </w:r>
      <w:r>
        <w:rPr>
          <w:rFonts w:ascii="Times New Roman;Times;Serif" w:hAnsi="Times New Roman;Times;Serif"/>
          <w:b w:val="false"/>
          <w:i w:val="false"/>
          <w:caps w:val="false"/>
          <w:smallCaps w:val="false"/>
          <w:sz w:val="20"/>
        </w:rPr>
        <w:t>” means the period (x) beginning on the date of delivery of a Notice of Exercise at a time when there is no registration statement registering, or the prospectus contained therein is not available for, the sale of all of the Warrant ADSs, representing the underlying Warrant Shares, issuable under this Warrant, and (y) ending on the later of (A) the date that there is an effective registration statement registering, and the prospectus contained therein is available for, the sale of all of the Warrant ADSs, representing the underlying Warrant Shares, issuable hereunder and (B) the date of delivery of all of the Warrant ADSs required to be delivered pursuant to the Notice of Exercise by crediting the account of the Holder’s prime broker with The Depository Trust Company through DWAC.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200"/>
        <w:gridCol w:w="2240"/>
      </w:tblGrid>
      <w:tr>
        <w:trPr/>
        <w:tc>
          <w:tcPr>
            <w:tcW w:w="200" w:type="dxa"/>
            <w:tcBorders/>
            <w:vAlign w:val="center"/>
          </w:tcPr>
          <w:p>
            <w:pPr>
              <w:pStyle w:val="TableContents"/>
              <w:bidi w:val="0"/>
              <w:spacing w:before="0" w:after="283"/>
              <w:jc w:val="left"/>
              <w:rPr>
                <w:sz w:val="20"/>
              </w:rPr>
            </w:pPr>
            <w:r>
              <w:rPr>
                <w:sz w:val="20"/>
              </w:rPr>
              <w:t>d)</w:t>
            </w:r>
          </w:p>
        </w:tc>
        <w:tc>
          <w:tcPr>
            <w:tcW w:w="2240" w:type="dxa"/>
            <w:tcBorders/>
            <w:vAlign w:val="center"/>
          </w:tcPr>
          <w:p>
            <w:pPr>
              <w:pStyle w:val="TableContents"/>
              <w:bidi w:val="0"/>
              <w:spacing w:before="0" w:after="283"/>
              <w:jc w:val="both"/>
              <w:rPr/>
            </w:pPr>
            <w:r>
              <w:rPr>
                <w:u w:val="single"/>
              </w:rPr>
              <w:t>Mechanics of Exercise</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Delivery of Warrant ADSs Upon Exercise</w:t>
      </w:r>
      <w:r>
        <w:rPr>
          <w:rFonts w:ascii="Times New Roman;Times;Serif" w:hAnsi="Times New Roman;Times;Serif"/>
          <w:b w:val="false"/>
          <w:i w:val="false"/>
          <w:caps w:val="false"/>
          <w:smallCaps w:val="false"/>
          <w:sz w:val="20"/>
        </w:rPr>
        <w:t>. Upon the exercise of this Warrant, the Company shall enter the Warrant Shares in the name of the Holder in the Company’s share register, deposit the Warrant Shares in connection with such exercise with the Depositary for the ADSs, and instruct the Depositary to transmit the Warrant ADSs purchased hereunder to the Holder by crediting the account of the Holder’s or its designee’s balance account with The Depository Trust Company through its Deposit/Withdrawal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Depositary is then a participant in such system and there is an effective registration statement permitting the issuance of the Warrant ADSs, representing the underlying Warrant Shares, to the Holder, by the date that is the earlier of (i) two (2) Trading Days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ADS Delivery Date</w:t>
      </w:r>
      <w:r>
        <w:rPr>
          <w:rFonts w:ascii="Times New Roman;Times;Serif" w:hAnsi="Times New Roman;Times;Serif"/>
          <w:b w:val="false"/>
          <w:i w:val="false"/>
          <w:caps w:val="false"/>
          <w:smallCaps w:val="false"/>
          <w:sz w:val="20"/>
        </w:rPr>
        <w:t>”), provided that the Company shall not be obligated to deliver the Warrant ADSs hereunder unless the Company Danish Counsel has received the aggregate Exercise Price on or before the Trading Day (based on New York City time) immediately prior to the Warrant ADS Delivery Date. Upon delivery of the Notice of Exercise, the Holder shall be deemed for all corporate purposes to have become the holder of record of the Warrant ADSs with respect to which this Warrant has been exercised, irrespective of the date of delivery of the Warrant ADSs, provided that payment of the aggregate Exercise Price is received by the Warrant ADS Delivery Date. If the Company fails for any reason to cause the Depositary to deliver to the Holder the Warrant ADSs subject to a Notice of Exercise by the Warrant ADS Delivery Date, the Company shall pay to the Holder, in cash, as liquidated damages and not as a penalty, for each $1,000 of Warrant ADSs subject to such exercise (based on the VWAP of the ADSs on the date of the applicable Notice of Exercise), $10 per Trading Day (increasing to $20 per Trading Day on the third Trading Day after the Warrant ADS Delivery Date) for each Trading Day after such Warrant ADS Delivery Date until such Warrant ADSs are delivered or the Holder rescinds such exercise. The Company agrees to maintain a depositary and a transfer agent that each are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ADSs as in effect on the date of delivery of the Notice of Exercise. Notwithstanding the foregoing, with respect to any Notice(s) of Exercise delivered on or prior to 12:00 p.m. (New York City time) on the Trading Day prior to the Initial Exercise Date, which may be delivered at any time after the time of execution of the Purchase Agreement, the Company agrees to deliver the Warrant ADSs subject to such notice(s) by 4:00 p.m. (New York City time) on the Initial Exercise Date and the Initial Exercise Date shall be the Warrant ADS Delivery Date for purposes hereunder, provided that payment of the aggregate Exercise Price is delivered to Company Danish Counsel by 12:00 p.m. (New York City time) on the Trading Day prior to the Initial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ADSs, deliver to the Holder a new Warrant certificate evidencing the rights of the Holder to subscribe for the unsubscribed Warrant ADSs called for by this Warrant, which new Warrant shall in all other respects be identical with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Depositary to transmit to the Holder the Warrant ADSs pursuant to Section 2(d)(i) by the Warrant ADS Delivery Date, then the Holder will have the right to rescind such exercise prior to the delivery of such Warrant ADSs hereunder (with the effect that the Holder’s right to acquire such Warrant ADSs pursuant to this Warrant shall be restored) and the Company shall return to the Holder the aggregate Exercise Price paid to the Company Danish Counsel for such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ADSs Upon Exercise</w:t>
      </w:r>
      <w:r>
        <w:rPr>
          <w:rFonts w:ascii="Times New Roman;Times;Serif" w:hAnsi="Times New Roman;Times;Serif"/>
          <w:b w:val="false"/>
          <w:i w:val="false"/>
          <w:caps w:val="false"/>
          <w:smallCaps w:val="false"/>
          <w:sz w:val="20"/>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equivalent number of Warrant ADSs for which such exercise was not honored and return any amount received by the Company Danish Counsel in respect of the Exercise Price for those Warrant ADSs (in which case such exercise shall be deemed rescinded) or deliver to the Holder the number of Warrant ADSs that would have been issued had the Company timely complied with its exercise and delivery obligations hereunder. For example, if the Holder purchases ADSs having a total purchase price of $11,000 to cover a Buy-In with respect to an attempted exercise of Warrants for ADSs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ADSs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Fractional Ordinary Shares or Warrant ADSs</w:t>
      </w:r>
      <w:r>
        <w:rPr>
          <w:rFonts w:ascii="Times New Roman;Times;Serif" w:hAnsi="Times New Roman;Times;Serif"/>
          <w:b w:val="false"/>
          <w:i w:val="false"/>
          <w:caps w:val="false"/>
          <w:smallCaps w:val="false"/>
          <w:sz w:val="20"/>
        </w:rPr>
        <w:t>. No fractional Warrant Shares or Warrant ADSs shall be issued upon the exercise of this Warrant. As to any fraction of a Warrant ADS which the Holder would otherwise be entitled to subscribe upon such exercise, the Company shall, at its election, either pay a cash adjustment in respect of such final fraction in an amount equal to such fraction multiplied by the Exercise Price or round up to the next whole ADS, provided that the fraction of an ADS shall not be rounded up to the next whole ADS if such rounding would result in the issue price being lower than the nominal value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ADSs shall be made without charge to the Holder for any issue or transfer tax or other incidental expense in respect of the issuance of such Warrant ADSs, all of which taxes and expenses shall be paid by the Company, and such Warrant ADSs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ADSs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Depositary and Transfer Agent fees required for same-day processing of any Notice of Exercise and all fees to the Depository Trust Company (or another established clearing corporation performing similar functions) required for same-day electronic issuance and delivery of the Warrant ADSs. The Company shall pay all applicable fees and expenses of the Depositary and Transfer Agent in connection with the issuance of the Warrants ADSs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underlying such Warrant ADSs issuable upon exercise of this Warrant with respect to which such determination is being made, but shall exclude the number of Ordinary Shares underlying Warrant ADSs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annual report on Form 20-F, Report on Form 6-K or other public filings filed with the Commission, as the case may be, (B) a more recent public announcement by the Company or (C) a more recent written notice by the Company or the Depositary or the Transfer Agent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9.99% of the number of Ordinary Shares outstanding immediately after giving effect to the issuance of the Ordinary Shares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its ADSs or Ordinary Shares or any other equity or equity equivalent securities payable in ADSs or Ordinary Shares (which, for avoidance of doubt, shall not include any Warrant Shares or Warrant ADSs issued by the Company upon exercise of this Warrant), (ii) subdivides outstanding Ordinary Shares or ADSs into a larger number of Ordinary Shares or ADSs, as applicable, (iii) combines (including by way of reverse share split) outstanding ADSs or Ordinary Shares into a smaller number of Ordinary Shares or ADSs, as applicable, or (iv) issues by reclassification of ADSs, Ordinary Shares or any shares of capital stock of the Company, then in each case the Exercise Price shall be multiplied by a fraction of which the numerator shall be the number of Ordinary Shares or ADSs as applicable (excluding treasury Ordinary Shares, if any) outstanding immediately before such event and of which the denominator shall be the number of Ordinary Shares or ADSs, as applicable, outstanding immediately after such event, and the number of ADSs issuable upon exercise of this Warrant shall be proportionately adjusted such that the aggregate Exercise Price of this Warrant shall remain unchanged, provided that any reduction in the nominal value of the Ordinary Shares without any dividend or distribution shall not lead to any such adjustment and provided, further, that the Exercise Price cannot be adjusted to a price that is less than the nominal value of the Ordinary Shares.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exclusive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(including Ordinary Shares underlying the ADSs) are permitted to sell, tender or exchange their shares for other securities, cash or property and has been accepted by the holders of 50% or more of the outstanding Ordinary Shares (including Ordinary Shares underlying the ADSs) or 50% or more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50% or more of the outstanding Ordinary Shares (including Ordinary Shares underlying the ADSs) or 50% or more of the voting power of the common equity of the Company (each a “Fundamental Transaction”), then, upon any subsequent exercise of this Warrant, the Holder shall have the right to receive, for each Warrant Share represented by the Warrant ADSs that would have been issuable upon such exercise immediately prior to the occurrence of such Fundamental Transaction, at the option of the Holder (without regard to any limitation in Section 2(e) on the exercise of this Warrant), the number of shares of capital stock of the successor or acquiring corporation or of the Company, if the Company is the surviving corporation, and any additional consideration (the “Alternate Consideration”) receivable as a result of such Fundamental Transaction by a holder of the number of Warrant Shares represented by the Warrant ADSs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(including any Warrant Shares underlying the ADSs),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“Successor Entity”) to assume in writing all of the obligations of the Company under this Warrant in accordance with the provisions of this Section 3(b)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Warrant Shares underlying the Warrant ADSs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underlying the Warrant ADSs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3(b) regardless of (i) whether the Company has sufficient authorized Ordinary Shares for the issuance of Warrant Shares represented by Warrant ADSs and/or (ii) whether a Fundamental Transaction occurs prior to the Initial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(including Ordinary Shares underlying ADSs, but excluding treasury shares, if any)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to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Ordinary Shares or ADSs,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share exchange or action is expected to become effective or close, and the date as of which it is expected that holders of the Ordinary Shares (including Warrant Shares underlying Warrant ADSs) of record shall be entitled to exchange their Ordinary Shares for securities, cash or other property deliverable upon such reclassification, consolidation, merger, sale, transfer, share exchange or action;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on Form 6-K.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take no action that would result in the Exercise Price per ADS being adjusted hereunder to less than ten (10) Danish Krone, the nominal amount per share of the Ordinary Shares for ten (10) Ordinary Shares, as expressed in United States dollars at the applicable exchange rate published by the Danish National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subscription for Warrant ADSs without having a new Warrant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ADSs issuable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cash payments pursuant to Section 2(d)(i) and Section 2(d)(iv) herein, in no event shall the Company be required to net cash settle an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that the Warrant is outstanding, it shall allot a sufficient number of shares to provide for the issuance of the Warrant ADSs and the underlying Ordinary Shares upon the exercise of any subscription rights under this Warrant. The Company further covenants that its issuance of this Warrant shall constitute full authority to its officers who are charged with the duty of issuing the requisite Warrant Shares for the Depositary to issue the necessary Warrant ADSs upon the exercise of the subscription rights under this Warrant. The Company will take all such reasonable action as may be necessary to assure that such Warrant Shares and Warrant ADSs may be issued as provided herein without violation of any applicable law or regulation, or of any requirements of the Trading Market upon which the ADSs and/or Ordinary Shares may be listed. The Company covenants that all Warrant Shares represented by Warrant ADSs which may be issued upon the exercise of the subscription rights represented by this Warrant will, upon exercise of the subscription rights represented by this Warrant and payment for such Warrant ADSs in accordance herewith, be duly authorized, validly issued, fully paid and nonassessable and free from all taxes, liens and charges created by the Company in respect of the issue thereof (other than any taxes in respect of any transfer occurring contemporaneously with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nominal value of any Warrant Shares represented by Warrant ADSs above the amount payable therefor upon such exercise immediately prior to such increase in nominal value, (ii) take all such action as may be necessary or appropriate in order that the Company may validly and legally issue fully paid and nonassessable Warrant Shares represented by Warrant ADSs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Kingdom of Denmark,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hereto hereby irrevocably waives, to the fullest extent permitted by applicable law, any and all right to trial by jury in any legal proceeding arising out of or relating to this Warrant.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this Warrant,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represented by Warrant ADSs acquired upon the exercise of this Warrant, if not registered, will have restrictions upon resale imposed by state and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Dr. Neergaards Vej 5f, DK-2970 Hoersholm, Denmark, Attention: </w:t>
      </w:r>
      <w:r>
        <w:rPr>
          <w:rFonts w:ascii="Times New Roman;Times;Serif" w:hAnsi="Times New Roman;Times;Serif"/>
          <w:b/>
          <w:i w:val="false"/>
          <w:caps w:val="false"/>
          <w:smallCaps w:val="false"/>
          <w:sz w:val="20"/>
        </w:rPr>
        <w:t>Anne-Sofie Wiemann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Susanne Bech</w:t>
      </w:r>
      <w:r>
        <w:rPr>
          <w:rFonts w:ascii="Times New Roman;Times;Serif" w:hAnsi="Times New Roman;Times;Serif"/>
          <w:b w:val="false"/>
          <w:i w:val="false"/>
          <w:caps w:val="false"/>
          <w:smallCaps w:val="false"/>
          <w:sz w:val="20"/>
        </w:rPr>
        <w:t xml:space="preserve">, email addresses </w:t>
      </w:r>
      <w:r>
        <w:rPr>
          <w:rFonts w:ascii="Times New Roman;Times;Serif" w:hAnsi="Times New Roman;Times;Serif"/>
          <w:b/>
          <w:i w:val="false"/>
          <w:caps w:val="false"/>
          <w:smallCaps w:val="false"/>
          <w:sz w:val="20"/>
        </w:rPr>
        <w:t>awi@evaxion-biotech.com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sbe@evaxion-biotech.com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investor@evaxion-biotech.com</w:t>
      </w:r>
      <w:r>
        <w:rPr>
          <w:rFonts w:ascii="Times New Roman;Times;Serif" w:hAnsi="Times New Roman;Times;Serif"/>
          <w:b w:val="false"/>
          <w:i w:val="false"/>
          <w:caps w:val="false"/>
          <w:smallCaps w:val="false"/>
          <w:sz w:val="20"/>
        </w:rPr>
        <w:t xml:space="preserve">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number or address of such Holder appearing on the books of the Company, or if no such email number or address appears on the books of the Company, then to the most recent email, number or address such Holder has provided to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subscribe for Warrant ADSs, and no enumeration herein of the rights or privileges of the Holder, shall give rise to any liability of the Holder for the subscription price of any Warrant Shares or Warrant ADSs or as a shareholder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Company Acknowledgement; Notice of Successor Danish Counsel; Payment of Aggregate Exercise Price</w:t>
      </w:r>
      <w:r>
        <w:rPr>
          <w:rFonts w:ascii="Times New Roman;Times;Serif" w:hAnsi="Times New Roman;Times;Serif"/>
          <w:b w:val="false"/>
          <w:i w:val="false"/>
          <w:caps w:val="false"/>
          <w:smallCaps w:val="false"/>
          <w:sz w:val="20"/>
        </w:rPr>
        <w:t>. The Company acknowledges and agrees that the Holder’s payment of the aggregate Exercise Price to Company Danish Counsel in connection with any exercise hereunder shall be deemed to be the delivery by the Holder of the aggregate Exercise Price to the Company and shall satisfy the Holder’s obligations under this Warrant for the payment of the aggregate Exercise Price in connection with any exercise hereunder and shall require the Company to deliver the Warrant ADSs upon such exercise to the Holder pursuant to the terms hereunder. If the Company changes its Company Danish Counsel after the Initial Exercise Date, the Company shall promptly deliver notice of the successor Company Danish Counsel (including the bank wire transfer instructions of such successor Company Danish Counsel) to the Holder (including, without limitation, any successor holder of this Warrant) on Company letterhead and executed by the Chief Executive Officer or Chief Financial Officer of the Company, with instructions in writing to pay the aggregate Exercise Price of this Warrant to such successor Company Danish Counsel. The Company acknowledges that, if the Company Danish Counsel has received from the Holder the aggregate Exercise Price of the Warrant ADSs issuable upon exercise of this Warrant pursuant to Section 2.2(b)(ii) of the Purchase Agreement, the Company Danish Counsel shall convert such aggregate Exercise Price of this Warrant into Danish Krone on the Initial Exercise Date and shall hold such amount in trust for the Holder and shall release the applicable portion of such amount to the Company to apply it in connection with exercises of this Warrant pursuant to Section 2 herein by the Holder or any subsequent assignee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Reimbursement</w:t>
      </w:r>
      <w:r>
        <w:rPr>
          <w:rFonts w:ascii="Times New Roman;Times;Serif" w:hAnsi="Times New Roman;Times;Serif"/>
          <w:b w:val="false"/>
          <w:i w:val="false"/>
          <w:caps w:val="false"/>
          <w:smallCaps w:val="false"/>
          <w:sz w:val="20"/>
        </w:rPr>
        <w:t>. The Company shall reimburse the Holder for any fees charged to the Holder by the Depositary in connection with the issuance or holding or sale of the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left"/>
        <w:rPr>
          <w:caps w:val="false"/>
          <w:smallCaps w:val="false"/>
        </w:rPr>
      </w:pPr>
      <w:r>
        <w:rPr>
          <w:caps w:val="false"/>
          <w:smallCaps w:val="false"/>
        </w:rPr>
        <w:t> </w:t>
      </w:r>
    </w:p>
    <w:tbl>
      <w:tblPr>
        <w:tblW w:w="2319" w:type="dxa"/>
        <w:jc w:val="left"/>
        <w:tblInd w:w="0" w:type="dxa"/>
        <w:tblLayout w:type="fixed"/>
        <w:tblCellMar>
          <w:top w:w="0" w:type="dxa"/>
          <w:left w:w="0" w:type="dxa"/>
          <w:bottom w:w="0" w:type="dxa"/>
          <w:right w:w="0" w:type="dxa"/>
        </w:tblCellMar>
      </w:tblPr>
      <w:tblGrid>
        <w:gridCol w:w="80"/>
        <w:gridCol w:w="766"/>
        <w:gridCol w:w="1473"/>
      </w:tblGrid>
      <w:tr>
        <w:trPr/>
        <w:tc>
          <w:tcPr>
            <w:tcW w:w="80" w:type="dxa"/>
            <w:tcBorders/>
            <w:vAlign w:val="center"/>
          </w:tcPr>
          <w:p>
            <w:pPr>
              <w:pStyle w:val="TableContents"/>
              <w:bidi w:val="0"/>
              <w:spacing w:before="0" w:after="283"/>
              <w:jc w:val="left"/>
              <w:rPr/>
            </w:pPr>
            <w:r>
              <w:rPr/>
              <w:t> </w:t>
            </w:r>
          </w:p>
        </w:tc>
        <w:tc>
          <w:tcPr>
            <w:tcW w:w="223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EVAXION BIOTECH A/S</w:t>
            </w:r>
          </w:p>
        </w:tc>
      </w:tr>
      <w:tr>
        <w:trPr/>
        <w:tc>
          <w:tcPr>
            <w:tcW w:w="80" w:type="dxa"/>
            <w:tcBorders/>
            <w:vAlign w:val="center"/>
          </w:tcPr>
          <w:p>
            <w:pPr>
              <w:pStyle w:val="TableContents"/>
              <w:bidi w:val="0"/>
              <w:spacing w:before="0" w:after="283"/>
              <w:jc w:val="left"/>
              <w:rPr/>
            </w:pPr>
            <w:r>
              <w:rPr/>
              <w:t> </w:t>
            </w:r>
          </w:p>
        </w:tc>
        <w:tc>
          <w:tcPr>
            <w:tcW w:w="2239"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7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80"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tab/>
        <w:t>     </w:t>
      </w:r>
      <w:r>
        <w:rPr>
          <w:rFonts w:ascii="Times New Roman;Times;Serif" w:hAnsi="Times New Roman;Times;Serif"/>
          <w:b/>
          <w:i w:val="false"/>
          <w:caps w:val="false"/>
          <w:smallCaps w:val="false"/>
          <w:sz w:val="20"/>
        </w:rPr>
        <w:t>EVAXION BIOTECH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subscribe for ________ Warrant ADSs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lawful money of the United States to be delivered to Company Danish Counsel (as defined in the Warrant) pursuant to the following bank wire transfer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Name</w:t>
      </w:r>
      <w:r>
        <w:rPr>
          <w:rFonts w:ascii="Times New Roman;Times;Serif" w:hAnsi="Times New Roman;Times;Serif"/>
          <w:b w:val="false"/>
          <w:i w:val="false"/>
          <w:caps w:val="false"/>
          <w:smallCaps w:val="false"/>
          <w:sz w:val="20"/>
        </w:rPr>
        <w:t>: Danske Bank</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Address</w:t>
      </w:r>
      <w:r>
        <w:rPr>
          <w:rFonts w:ascii="Times New Roman;Times;Serif" w:hAnsi="Times New Roman;Times;Serif"/>
          <w:b w:val="false"/>
          <w:i w:val="false"/>
          <w:caps w:val="false"/>
          <w:smallCaps w:val="false"/>
          <w:sz w:val="20"/>
        </w:rPr>
        <w:t>: Holmens Kanal 2, 1092 Copenhagen K, Denmark</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Account Name</w:t>
      </w:r>
      <w:r>
        <w:rPr>
          <w:rFonts w:ascii="Times New Roman;Times;Serif" w:hAnsi="Times New Roman;Times;Serif"/>
          <w:b w:val="false"/>
          <w:i w:val="false"/>
          <w:caps w:val="false"/>
          <w:smallCaps w:val="false"/>
          <w:sz w:val="20"/>
        </w:rPr>
        <w:t>: Mazanti-Andersen main client account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Account Number</w:t>
      </w:r>
      <w:r>
        <w:rPr>
          <w:rFonts w:ascii="Times New Roman;Times;Serif" w:hAnsi="Times New Roman;Times;Serif"/>
          <w:b w:val="false"/>
          <w:i w:val="false"/>
          <w:caps w:val="false"/>
          <w:smallCaps w:val="false"/>
          <w:sz w:val="20"/>
        </w:rPr>
        <w:t>: 4777175572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IBAN</w:t>
      </w:r>
      <w:r>
        <w:rPr>
          <w:rFonts w:ascii="Times New Roman;Times;Serif" w:hAnsi="Times New Roman;Times;Serif"/>
          <w:b w:val="false"/>
          <w:i w:val="false"/>
          <w:caps w:val="false"/>
          <w:smallCaps w:val="false"/>
          <w:sz w:val="20"/>
        </w:rPr>
        <w:t>: DK7130004777175572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SWIFT-BIC</w:t>
      </w:r>
      <w:r>
        <w:rPr>
          <w:rFonts w:ascii="Times New Roman;Times;Serif" w:hAnsi="Times New Roman;Times;Serif"/>
          <w:b w:val="false"/>
          <w:i w:val="false"/>
          <w:caps w:val="false"/>
          <w:smallCaps w:val="false"/>
          <w:sz w:val="20"/>
        </w:rPr>
        <w:t>: DABADKKK</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Reference</w:t>
      </w:r>
      <w:r>
        <w:rPr>
          <w:rFonts w:ascii="Times New Roman;Times;Serif" w:hAnsi="Times New Roman;Times;Serif"/>
          <w:b w:val="false"/>
          <w:i w:val="false"/>
          <w:caps w:val="false"/>
          <w:smallCaps w:val="false"/>
          <w:sz w:val="20"/>
        </w:rPr>
        <w:t>: Evaxion Biotech A/S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Contact Person and Telephone Number</w:t>
      </w:r>
      <w:r>
        <w:rPr>
          <w:rFonts w:ascii="Times New Roman;Times;Serif" w:hAnsi="Times New Roman;Times;Serif"/>
          <w:b w:val="false"/>
          <w:i w:val="false"/>
          <w:caps w:val="false"/>
          <w:smallCaps w:val="false"/>
          <w:sz w:val="20"/>
        </w:rPr>
        <w:t>: Lars Lüthjohan. Ph. no.: +4540283536 E-mail: LLJ@mazanti.dk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ADSs in the name of the undersigned or in such other name as is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 name and number: 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DTC Participant: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of DTC Participant Contact: 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2135"/>
        <w:gridCol w:w="80"/>
      </w:tblGrid>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540" w:type="dxa"/>
        <w:jc w:val="left"/>
        <w:tblInd w:w="0" w:type="dxa"/>
        <w:tblLayout w:type="fixed"/>
        <w:tblCellMar>
          <w:top w:w="0" w:type="dxa"/>
          <w:left w:w="0" w:type="dxa"/>
          <w:bottom w:w="0" w:type="dxa"/>
          <w:right w:w="0" w:type="dxa"/>
        </w:tblCellMar>
      </w:tblPr>
      <w:tblGrid>
        <w:gridCol w:w="4460"/>
        <w:gridCol w:w="80"/>
      </w:tblGrid>
      <w:tr>
        <w:trPr/>
        <w:tc>
          <w:tcPr>
            <w:tcW w:w="44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of Authorized Signatory of Investing Entity:</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2650" w:type="dxa"/>
        <w:jc w:val="left"/>
        <w:tblInd w:w="0" w:type="dxa"/>
        <w:tblLayout w:type="fixed"/>
        <w:tblCellMar>
          <w:top w:w="0" w:type="dxa"/>
          <w:left w:w="0" w:type="dxa"/>
          <w:bottom w:w="0" w:type="dxa"/>
          <w:right w:w="0" w:type="dxa"/>
        </w:tblCellMar>
      </w:tblPr>
      <w:tblGrid>
        <w:gridCol w:w="2570"/>
        <w:gridCol w:w="80"/>
      </w:tblGrid>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2575" w:type="dxa"/>
        <w:jc w:val="left"/>
        <w:tblInd w:w="0" w:type="dxa"/>
        <w:tblLayout w:type="fixed"/>
        <w:tblCellMar>
          <w:top w:w="0" w:type="dxa"/>
          <w:left w:w="0" w:type="dxa"/>
          <w:bottom w:w="0" w:type="dxa"/>
          <w:right w:w="0" w:type="dxa"/>
        </w:tblCellMar>
      </w:tblPr>
      <w:tblGrid>
        <w:gridCol w:w="2495"/>
        <w:gridCol w:w="80"/>
      </w:tblGrid>
      <w:tr>
        <w:trPr/>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550" w:type="dxa"/>
        <w:jc w:val="left"/>
        <w:tblInd w:w="0" w:type="dxa"/>
        <w:tblLayout w:type="fixed"/>
        <w:tblCellMar>
          <w:top w:w="0" w:type="dxa"/>
          <w:left w:w="0" w:type="dxa"/>
          <w:bottom w:w="0" w:type="dxa"/>
          <w:right w:w="0" w:type="dxa"/>
        </w:tblCellMar>
      </w:tblPr>
      <w:tblGrid>
        <w:gridCol w:w="470"/>
        <w:gridCol w:w="8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subscribe for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bl>
      <w:tblPr>
        <w:tblW w:w="4270" w:type="dxa"/>
        <w:jc w:val="left"/>
        <w:tblInd w:w="0" w:type="dxa"/>
        <w:tblLayout w:type="fixed"/>
        <w:tblCellMar>
          <w:top w:w="0" w:type="dxa"/>
          <w:left w:w="0" w:type="dxa"/>
          <w:bottom w:w="0" w:type="dxa"/>
          <w:right w:w="0" w:type="dxa"/>
        </w:tblCellMar>
      </w:tblPr>
      <w:tblGrid>
        <w:gridCol w:w="3170"/>
        <w:gridCol w:w="1100"/>
      </w:tblGrid>
      <w:tr>
        <w:trPr/>
        <w:tc>
          <w:tcPr>
            <w:tcW w:w="3170" w:type="dxa"/>
            <w:tcBorders/>
            <w:vAlign w:val="center"/>
          </w:tcPr>
          <w:p>
            <w:pPr>
              <w:pStyle w:val="TableContents"/>
              <w:bidi w:val="0"/>
              <w:spacing w:before="0" w:after="283"/>
              <w:jc w:val="left"/>
              <w:rPr>
                <w:sz w:val="4"/>
                <w:szCs w:val="4"/>
              </w:rPr>
            </w:pPr>
            <w:r>
              <w:rPr>
                <w:sz w:val="4"/>
                <w:szCs w:val="4"/>
              </w:rPr>
            </w:r>
          </w:p>
        </w:tc>
        <w:tc>
          <w:tcPr>
            <w:tcW w:w="110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w:t>
            </w:r>
          </w:p>
        </w:tc>
      </w:tr>
      <w:tr>
        <w:trPr/>
        <w:tc>
          <w:tcPr>
            <w:tcW w:w="3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w:t>
            </w:r>
          </w:p>
        </w:tc>
      </w:tr>
      <w:tr>
        <w:trPr/>
        <w:tc>
          <w:tcPr>
            <w:tcW w:w="3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Phone Number:</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Address:</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_______________ __, ______</w:t>
            </w:r>
          </w:p>
        </w:tc>
        <w:tc>
          <w:tcPr>
            <w:tcW w:w="11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98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WARRANT TO SUBSCRIBE FOR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REPRESENTED BY 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EVAXION BIOTECH A/S</w:t>
      </w:r>
    </w:p>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2525"/>
        <w:gridCol w:w="3695"/>
      </w:tblGrid>
      <w:tr>
        <w:trPr/>
        <w:tc>
          <w:tcPr>
            <w:tcW w:w="2525" w:type="dxa"/>
            <w:tcBorders/>
            <w:vAlign w:val="center"/>
          </w:tcPr>
          <w:p>
            <w:pPr>
              <w:pStyle w:val="TableContents"/>
              <w:bidi w:val="0"/>
              <w:spacing w:before="0" w:after="283"/>
              <w:jc w:val="left"/>
              <w:rPr/>
            </w:pPr>
            <w:r>
              <w:rPr/>
              <w:t>Warrant ADSs: 3,750,000</w:t>
            </w:r>
          </w:p>
        </w:tc>
        <w:tc>
          <w:tcPr>
            <w:tcW w:w="3695" w:type="dxa"/>
            <w:tcBorders/>
            <w:vAlign w:val="center"/>
          </w:tcPr>
          <w:p>
            <w:pPr>
              <w:pStyle w:val="TableContents"/>
              <w:bidi w:val="0"/>
              <w:spacing w:before="0" w:after="283"/>
              <w:jc w:val="both"/>
              <w:rPr/>
            </w:pPr>
            <w:r>
              <w:rPr/>
              <w:t>Initial Exercise Date: February 5,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SERIES A WARRANT TO SUBSCRIBE FOR ORDINARY SHARES REPRESENTED BY AMERICAN DEPOSITARY SHARES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February 5, 2029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Evaxion Biotech A/S, a public limited liability company incorporated under the laws of the Kingdom of Denmark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37,500,000 Ordinary Shares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represented by 3,750,000 ADSs (the “</w:t>
      </w:r>
      <w:r>
        <w:rPr>
          <w:rFonts w:ascii="Times New Roman;Times;Serif" w:hAnsi="Times New Roman;Times;Serif"/>
          <w:b w:val="false"/>
          <w:i w:val="false"/>
          <w:caps w:val="false"/>
          <w:smallCaps w:val="false"/>
          <w:sz w:val="20"/>
          <w:u w:val="single"/>
        </w:rPr>
        <w:t xml:space="preserve">Warrant ADSs </w:t>
      </w:r>
      <w:r>
        <w:rPr>
          <w:rFonts w:ascii="Times New Roman;Times;Serif" w:hAnsi="Times New Roman;Times;Serif"/>
          <w:b w:val="false"/>
          <w:i w:val="false"/>
          <w:caps w:val="false"/>
          <w:smallCaps w:val="false"/>
          <w:sz w:val="20"/>
        </w:rPr>
        <w:t>”), as subject to adjustment hereunder. The subscription price of one Warrant ADS under this Warrant shall be equal to the Exercise Price, as defined in Section 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Warrant, the following terms have the meanings indicated in this Section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means American Depositary Shares issued pursuant to the Deposit Agreement, each representing ten (10)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or national holiday in the United States or Denmark or any day on which banking institutions in the State of New York or Denmark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and Copenhagen, Denmark are generally open for use by customers on such day or other governmental action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Danish Counsel</w:t>
      </w:r>
      <w:r>
        <w:rPr>
          <w:rFonts w:ascii="Times New Roman;Times;Serif" w:hAnsi="Times New Roman;Times;Serif"/>
          <w:b w:val="false"/>
          <w:i w:val="false"/>
          <w:caps w:val="false"/>
          <w:smallCaps w:val="false"/>
          <w:sz w:val="20"/>
        </w:rPr>
        <w:t>” means Mazanti-Andersen, Amaliegade 10 1256 Copenhagen K, Denmark, or any successor Danish counsel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means the Deposit Agreement, dated as of February 4, 2021, among the Company, The Bank of New York Mellon as Depositary and the owners and holders of ADSs from time to time, as such agreement may be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The Bank of New York Mellon and any successor depositary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ordinary shares of the Company, DKK 1 nominal value per share,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xml:space="preserve"> ”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means the securities purchase agreement, dated as of February 1, 2024, by and between the Company and each of the purchasers signatory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Company’s registration statement on Form F-1 (File No. 333-276505).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Ordinary Shares and/or ADSs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Computershare A/S, the current transfer agent of the Company, with a mailing address of Lottenborgvej 26 D, 1., DK-2800 Kgs. Lyngby, Denmark and company registration number (CVR) no. 27088899,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L.P. (based on a Trading Day from 9:30 a.m. (New York City time) to 4:02 p.m. (New York City time)), (b) if OTCQB Venture Market (“</w:t>
      </w:r>
      <w:r>
        <w:rPr>
          <w:rFonts w:ascii="Times New Roman;Times;Serif" w:hAnsi="Times New Roman;Times;Serif"/>
          <w:b w:val="false"/>
          <w:i w:val="false"/>
          <w:caps w:val="false"/>
          <w:smallCaps w:val="false"/>
          <w:sz w:val="20"/>
          <w:u w:val="single"/>
        </w:rPr>
        <w:t>OTCQB</w:t>
      </w:r>
      <w:r>
        <w:rPr>
          <w:rFonts w:ascii="Times New Roman;Times;Serif" w:hAnsi="Times New Roman;Times;Serif"/>
          <w:b w:val="false"/>
          <w:i w:val="false"/>
          <w:caps w:val="false"/>
          <w:smallCaps w:val="false"/>
          <w:sz w:val="20"/>
        </w:rPr>
        <w:t>”) or OTCQX Best Market (“</w:t>
      </w:r>
      <w:r>
        <w:rPr>
          <w:rFonts w:ascii="Times New Roman;Times;Serif" w:hAnsi="Times New Roman;Times;Serif"/>
          <w:b w:val="false"/>
          <w:i w:val="false"/>
          <w:caps w:val="false"/>
          <w:smallCaps w:val="false"/>
          <w:sz w:val="20"/>
          <w:u w:val="single"/>
        </w:rPr>
        <w:t>OTCQX</w:t>
      </w:r>
      <w:r>
        <w:rPr>
          <w:rFonts w:ascii="Times New Roman;Times;Serif" w:hAnsi="Times New Roman;Times;Serif"/>
          <w:b w:val="false"/>
          <w:i w:val="false"/>
          <w:caps w:val="false"/>
          <w:smallCaps w:val="false"/>
          <w:sz w:val="20"/>
        </w:rPr>
        <w:t>”) is not a Trading Market, the volume weighted average price of the ADSs for such date (or the nearest preceding date) on OTCQB or OTCQX as applicable, (c) if the ADSs are not then listed or quoted for trading on OTCQB or OTCQX and if prices for the ADSs are then reported in the “Pink” Open Market (“</w:t>
      </w:r>
      <w:r>
        <w:rPr>
          <w:rFonts w:ascii="Times New Roman;Times;Serif" w:hAnsi="Times New Roman;Times;Serif"/>
          <w:b w:val="false"/>
          <w:i w:val="false"/>
          <w:caps w:val="false"/>
          <w:smallCaps w:val="false"/>
          <w:sz w:val="20"/>
          <w:u w:val="single"/>
        </w:rPr>
        <w:t>Pink Market</w:t>
      </w:r>
      <w:r>
        <w:rPr>
          <w:rFonts w:ascii="Times New Roman;Times;Serif" w:hAnsi="Times New Roman;Times;Serif"/>
          <w:b w:val="false"/>
          <w:i w:val="false"/>
          <w:caps w:val="false"/>
          <w:smallCaps w:val="false"/>
          <w:sz w:val="20"/>
        </w:rPr>
        <w:t>”) operated by OTC Markets, Inc. (or a similar organization or agency succeeding to its functions of reporting prices), the most recent bid price per ADS so reported, or (d) in all other cases, the fair market value of an ADS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 This Warrant may be exercised,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On the Trading Day (based on New York City time) on which the delivery of the Notice of Exercise occurs, the Holder shall deliver to the Company Danish Counsel the aggregate Exercise Price for the Warrant ADSs specified in the applicable Notice of Exercise by wire transfer to the Company Danish Counsel pursuant to the bank wire transfer instructions set forth on the Notice of Exercise attached hereto. No ink- 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subscribed for all of the Warrant ADSs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the subscription of a portion of the total number of Warrant ADSs available hereunder shall have the effect of reducing the outstanding number of Warrant ADSs purchasable hereunder in an amount equal to the applicable number of Warrant ADSs subscribed. The Company shall record the number of Warrants issued to the Holder and the number of Warrant ADSs subscribed through exercise and the date of such subscription of the Warrant ADSs. The Company shall deliver any objection to any Notice of Exercise within one (1) Trading Day of receipt of such notice. The Holder and any assignee, by acceptance of this Warrant, acknowledge and agree that, by reason of the provisions of this paragraph, following the subscription for a portion of the Warrant ADSs hereunder, the number of Warrant ADSs available for subscription hereunder at any given time may be less than the amount stated on the face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per ADS under this Warrant shall be </w:t>
      </w:r>
      <w:r>
        <w:rPr>
          <w:rFonts w:ascii="Times New Roman;Times;Serif" w:hAnsi="Times New Roman;Times;Serif"/>
          <w:b/>
          <w:i w:val="false"/>
          <w:caps w:val="false"/>
          <w:smallCaps w:val="false"/>
          <w:sz w:val="20"/>
        </w:rPr>
        <w:t xml:space="preserve">DKK 27.52 </w:t>
      </w:r>
      <w:r>
        <w:rPr>
          <w:rFonts w:ascii="Times New Roman;Times;Serif" w:hAnsi="Times New Roman;Times;Serif"/>
          <w:b w:val="false"/>
          <w:i w:val="false"/>
          <w:caps w:val="false"/>
          <w:smallCaps w:val="false"/>
          <w:sz w:val="20"/>
        </w:rPr>
        <w:t>(Exercise Price in appendix 8 co</w:t>
      </w:r>
      <w:r>
        <w:rPr>
          <w:rFonts w:ascii="Times New Roman;Times;Serif" w:hAnsi="Times New Roman;Times;Serif"/>
          <w:b w:val="false"/>
          <w:i w:val="false"/>
          <w:caps w:val="false"/>
          <w:smallCaps w:val="false"/>
          <w:sz w:val="20"/>
          <w:u w:val="single"/>
        </w:rPr>
        <w:t>nverted from</w:t>
      </w:r>
      <w:r>
        <w:rPr>
          <w:rFonts w:ascii="Times New Roman;Times;Serif" w:hAnsi="Times New Roman;Times;Serif"/>
          <w:b w:val="false"/>
          <w:i w:val="false"/>
          <w:caps w:val="false"/>
          <w:smallCaps w:val="false"/>
          <w:sz w:val="20"/>
        </w:rPr>
        <w:t xml:space="preserve"> USD to DKK pursuant to board resolution dated 25 October 2024), subject to adjustment hereunder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Unavailability of Registration Statemen</w:t>
      </w:r>
      <w:r>
        <w:rPr>
          <w:rFonts w:ascii="Times New Roman;Times;Serif" w:hAnsi="Times New Roman;Times;Serif"/>
          <w:b w:val="false"/>
          <w:i w:val="false"/>
          <w:caps w:val="false"/>
          <w:smallCaps w:val="false"/>
          <w:sz w:val="20"/>
        </w:rPr>
        <w:t>t. Notwithstanding anything to the contrary contained herein, if there is no effective registration statement registering, or the prospectus contained therein is not available for, the sale of all of Warrant ADSs, representing the underlying Warrant Shares, issuable under this Warrant at any time following the Initial Exercise Date and ending on the Termination Date, the Holder shall be permitted to exercise this Warrant by delivery of a Notice of Exercise to the Company, and, within one (1) Trading Day (based on New York City time) following the delivery of such Notice of Exercise, deliver to the Company Danish Counsel the aggregate Exercise Price with respect to such exercise of this Warrant. Upon delivery by the Holder of a Notice of Exercise during a Registration Failure Period (as defined below) and the timely payment by the Holder of the aggregate Exercise Price, the Company shall be required to (1) pay in cash to the Holder on each Trading Day during the Registration Failure Period an amount equal to 1.0% of the product of (A) the number of Warrant ADSs subject to the exercise by the Holder pursuant to the immediately preceding sentence and (B) the VWAP of the ADSs on the date of delivery of the Notice of Exercise to the Company, and (2) on the Trading Day immediately following the date on which the Registration Failure Period ends, deliver all of the Warrant ADSs required to be delivered pursuant to such Notice of Exercise by crediting the account of the Holder’s prime broker with The Depository Trust Company through DWAC (as defined below). The Company shall pay any cash amounts owed pursuant to clause (1) of the immediately preceding sentence on each corresponding Trading Day during the Registration Failure Period. As used herein, “</w:t>
      </w:r>
      <w:r>
        <w:rPr>
          <w:rFonts w:ascii="Times New Roman;Times;Serif" w:hAnsi="Times New Roman;Times;Serif"/>
          <w:b w:val="false"/>
          <w:i w:val="false"/>
          <w:caps w:val="false"/>
          <w:smallCaps w:val="false"/>
          <w:sz w:val="20"/>
          <w:u w:val="single"/>
        </w:rPr>
        <w:t>Registration Failure Period</w:t>
      </w:r>
      <w:r>
        <w:rPr>
          <w:rFonts w:ascii="Times New Roman;Times;Serif" w:hAnsi="Times New Roman;Times;Serif"/>
          <w:b w:val="false"/>
          <w:i w:val="false"/>
          <w:caps w:val="false"/>
          <w:smallCaps w:val="false"/>
          <w:sz w:val="20"/>
        </w:rPr>
        <w:t>” means the period (x) beginning on the date of delivery of a Notice of Exercise at a time when there is no registration statement registering, or the prospectus contained therein is not available for, the sale of all of the Warrant ADSs, representing the underlying Warrant Shares, issuable under this Warrant, and (y) ending on the later of (A) the date that there is an effective registration statement registering, and the prospectus contained therein is available for, the sale of all of the Warrant ADSs, representing the underlying Warrant Shares, issuable hereunder and (B) the date of delivery of all of the Warrant ADSs required to be delivered pursuant to the Notice of Exercise by crediting the account of the Holder’s prime broker with The Depository Trust Company through DWAC.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ADSs Upon Exercise</w:t>
      </w:r>
      <w:r>
        <w:rPr>
          <w:rFonts w:ascii="Times New Roman;Times;Serif" w:hAnsi="Times New Roman;Times;Serif"/>
          <w:b w:val="false"/>
          <w:i w:val="false"/>
          <w:caps w:val="false"/>
          <w:smallCaps w:val="false"/>
          <w:sz w:val="20"/>
        </w:rPr>
        <w:t>. Upon the exercise of this Warrant, the Company shall enter the Warrant Shares in the name of the Holder in the Company’s share register, deposit the Warrant Shares in connection with such exercise with the Depositary for the ADSs, and instruct the Depositary to transmit the Warrant ADSs purchased hereunder to the Holder by crediting the account of the Holder’s or its designee’s balance account with The Depository Trust Company through its Deposit/Withdrawal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Depositary is then a participant in such system and there is an effective registration statement permitting the issuance of the Warrant ADSs, representing the underlying Warrant Shares, to the Holder, by the date that is the earlier of (i) two (2) Trading Days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ADS Delivery Date</w:t>
      </w:r>
      <w:r>
        <w:rPr>
          <w:rFonts w:ascii="Times New Roman;Times;Serif" w:hAnsi="Times New Roman;Times;Serif"/>
          <w:b w:val="false"/>
          <w:i w:val="false"/>
          <w:caps w:val="false"/>
          <w:smallCaps w:val="false"/>
          <w:sz w:val="20"/>
        </w:rPr>
        <w:t>”), provided that the Company shall not be obligated to deliver the Warrant ADSs hereunder unless the Company Danish Counsel has received the aggregate Exercise Price on or before the Trading Day (based on New York City time) immediately prior to the Warrant ADS Delivery Date. Upon delivery of the Notice of Exercise, the Holder shall be deemed for all corporate purposes to have become the holder of record of the Warrant ADSs with respect to which this Warrant has been exercised, irrespective of the date of delivery of the Warrant ADSs, provided that payment of the aggregate Exercise Price is received by the Warrant ADS Delivery Date. If the Company fails for any reason to cause the Depositary to deliver to the Holder the Warrant ADSs subject to a Notice of Exercise by the Warrant ADS Delivery Date, the Company shall pay to the Holder, in cash, as liquidated damages and not as a penalty, for each $1,000 of Warrant ADSs subject to such exercise (based on the VWAP of the ADSs on the date of the applicable Notice of Exercise), $10 per Trading Day (increasing to $20 per Trading Day on the third Trading Day after the Warrant ADS Delivery Date) for each Trading Day after such Warrant ADS Delivery Date until such Warrant ADSs are delivered or the Holder rescinds such exercise. The Company agrees to maintain a depositary and a transfer agent that each are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ADSs as in effect on the date of delivery of the Notice of Exercise. Notwithstanding the foregoing, with respect to any Notice(s) of Exercise delivered on or prior to 12:00 p.m. (New York City time) on the Trading Day prior to the Initial Exercise Date, which may be delivered at any time after the time of execution of the Purchase Agreement, the Company agrees to deliver the Warrant ADSs subject to such notice(s) by 4:00 p.m. (New York City time) on the Initial Exercise Date and the Initial Exercise Date shall be the Warrant ADS Delivery Date for purposes hereunder, provided that payment of the aggregate Exercise Price is delivered to Company Danish Counsel by 12:00 p.m. (New York City time) on the Trading Day prior to the Initial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ADSs, deliver to the Holder a new Warrant certificate evidencing the rights of the Holder to subscribe for the unsubscribed Warrant ADSs called for by this Warrant, which new Warrant shall in all other respects be identical with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Depositary to transmit to the Holder the Warrant ADSs pursuant to Section 2(d)(i) by the Warrant ADS Delivery Date, then the Holder will have the right to rescind such exercise prior to the delivery of such Warrant ADSs hereunder (with the effect that the Holder’s right to acquire such Warrant ADSs pursuant to this Warrant shall be restored) and the Company shall return to the Holder the aggregate Exercise Price paid to the Company Danish Counsel for such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 xml:space="preserve">Compensation for Buy-In on Failure to Timely Deliver Warrant ADSs Upon Exercise </w:t>
      </w:r>
      <w:r>
        <w:rPr>
          <w:rFonts w:ascii="Times New Roman;Times;Serif" w:hAnsi="Times New Roman;Times;Serif"/>
          <w:b w:val="false"/>
          <w:i w:val="false"/>
          <w:caps w:val="false"/>
          <w:smallCaps w:val="false"/>
          <w:sz w:val="20"/>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equivalent number of Warrant ADSs for which such exercise was not honored and return any amount received by the Company Danish Counsel in respect of the Exercise Price for those Warrant ADSs (in which case such exercise shall be deemed rescinded) or deliver to the Holder the number of Warrant ADSs that would have been issued had the Company timely complied with its exercise and delivery obligations hereunder. For example, if the Holder purchases ADSs having a total purchase price of $11,000 to cover a Buy-In with respect to an attempted exercise of Warrants for ADSs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ADSs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Fractional Ordinary Shares or Warrant ADSs</w:t>
      </w:r>
      <w:r>
        <w:rPr>
          <w:rFonts w:ascii="Times New Roman;Times;Serif" w:hAnsi="Times New Roman;Times;Serif"/>
          <w:b w:val="false"/>
          <w:i w:val="false"/>
          <w:caps w:val="false"/>
          <w:smallCaps w:val="false"/>
          <w:sz w:val="20"/>
        </w:rPr>
        <w:t>. No fractional Warrant Shares or Warrant ADSs shall be issued upon the exercise of this Warrant. As to any fraction of a Warrant ADS which the Holder would otherwise be entitled to subscribe upon such exercise, the Company shall, at its election, either pay a cash adjustment in respect of such final fraction in an amount equal to such fraction multiplied by the Exercise Price or round up to the next whole ADS, provided that the fraction of an ADS shall not be rounded up to the next whole ADS if such rounding would result in the issue price being lower than the nominal value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ADSs shall be made without charge to the Holder for any issue or transfer tax or other incidental expense in respect of the issuance of such Warrant ADSs, all of which taxes and expenses shall be paid by the Company, and such Warrant ADSs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ADSs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Depositary and Transfer Agent fees required for same-day processing of any Notice of Exercise and all fees to the Depository Trust Company (or another established clearing corporation performing similar functions) required for same-day electronic issuance and delivery of the Warrant ADSs. The Company shall pay all applicable fees and expenses of the Depositary and Transfer Agent in connection with the issuance of the Warrants ADSs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underlying such Warrant ADSs issuable upon exercise of this Warrant with respect to which such determination is being made, but shall exclude the number of Ordinary Shares underlying Warrant ADSs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annual report on Form 20-F, Report on Form 6-K or other public filings filed with the Commission, as the case may be, (B) a more recent public announcement by the Company or (C) a more recent written notice by the Company or the Depositary or the Transfer Agent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of the number of Ordinary Shares outstanding immediately after giving effect to the issuance of the Ordinary Shares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its ADSs or Ordinary Shares or any other equity or equity equivalent securities payable in ADSs or Ordinary Shares (which, for avoidance of doubt, shall not include any Warrant Shares or Warrant ADSs issued by the Company upon exercise of this Warrant), (ii) subdivides outstanding Ordinary Shares or ADSs into a larger number of Ordinary Shares or ADSs, as applicable, (iii) combines (including by way of reverse share split) outstanding ADSs or Ordinary Shares into a smaller number of Ordinary Shares or ADSs, as applicable, or (iv) issues by reclassification of ADSs, Ordinary Shares or any shares of capital stock of the Company, then in each case the Exercise Price shall be multiplied by a fraction of which the numerator shall be the number of Ordinary Shares or ADSs as applicable (excluding treasury Ordinary Shares, if any) outstanding immediately before such event and of which the denominator shall be the number of Ordinary Shares or ADSs, as applicable, outstanding immediately after such event, and the number of ADSs issuable upon exercise of this Warrant shall be proportionately adjusted such that the aggregate Exercise Price of this Warrant shall remain unchanged, provided that any reduction in the nominal value of the Ordinary Shares without any dividend or distribution shall not lead to any such adjustment and provided, further, that the Exercise Price cannot be adjusted to a price that is less than the nominal value of the Ordinary Shares.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exclusive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(including Ordinary Shares underlying the ADSs) are permitted to sell, tender or exchange their shares for other securities, cash or property and has been accepted by the holders of 50% or more of the outstanding Ordinary Shares (including Ordinary Shares underlying the ADSs) or 50% or more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50% or more of the outstanding Ordinary Shares (including Ordinary Shares underlying the ADSs) or 50% or more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represented by the Warrant ADSs that would have been issuable upon such exercise immediately prior to the occurrence of such Fundamental Transaction, at the option of the Holder (without regard to any limitation in Section 2(e) on the exercise of this Warrant), the number of shares of capital stock of the successor or acquiring corporation or of the Company, if the Company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xml:space="preserve">”) receivable as a result of such Fundamental Transaction by a holder of the number of Warrant Shares represented by the Warrant ADSs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(including any Warrant Shares underlying the ADSs),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(including Ordinary Shares underlying ADSs) of the Company in connection with the Fundamental Transaction, whether that consideration be in the form of cash, shares or any combination thereof, or whether the holders of Ordinary Shares (including Ordinary Shares underlying ADSs) are given the choice to receive from among alternative forms of consideration in connection with the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holders of Ordinary Shares (including any Ordinary Shares underlying ADSs) of the Company are not offered or paid any consideration in such Fundamental Transaction, such holders of Ordinary Shares (including any Ordinary Shares underlying ADSs) will be deemed to have received common equity of the Successor Entity (which Successor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Ordinary Share being offered in cash, if any, plus the value of any non-cash consideration, if any, being offered in such Fundamental Transaction and (ii)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3(b),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in accordance with the provisions of this Section 3(b)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Warrant Shares underlying the Warrant ADSs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underlying the Warrant ADSs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3(b) regardless of (i) whether the Company has sufficient authorized Ordinary Shares for the issuance of Warrant Shares represented by Warrant ADSs and/or (ii) whether a Fundamental Transaction occurs prior to the Initial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(including Ordinary Shares underlying ADSs, but excluding treasury shares, if any)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Ordinary Shares or ADSs,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share exchange or action is expected to become effective or close, and the date as of which it is expected that holders of the Ordinary Shares (including Warrant Shares underlying Warrant ADSs) of record shall be entitled to exchange their Ordinary Shares for securities, cash or other property deliverable upon such reclassification, consolidation, merger, sale, transfer, share exchange or action;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on Form 6-K.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take no action that would result in the Exercise Price per ADS being adjusted hereunder to less than ten (10) Danish Krone, the nominal amount per share of the Ordinary Shares for ten (10) Ordinary Shares, as expressed in United States dollars at the applicable exchange rate published by the Danish National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subscription for Warrant ADSs without having a new Warrant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ADSs issuable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cash payments pursuant to Section 2(d)(i) and Section 2(d)(iv) herein, in no event shall the Company be required to net cash settle an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4"/>
        <w:gridCol w:w="1043"/>
        <w:gridCol w:w="8978"/>
      </w:tblGrid>
      <w:tr>
        <w:trPr/>
        <w:tc>
          <w:tcPr>
            <w:tcW w:w="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spacing w:before="0" w:after="283"/>
              <w:jc w:val="both"/>
              <w:rPr/>
            </w:pPr>
            <w:r>
              <w:rPr>
                <w:u w:val="single"/>
              </w:rPr>
              <w:t>Authorized Shares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that the Warrant is outstanding, it shall allot a sufficient number of shares to provide for the issuance of the Warrant ADSs and the underlying Ordinary Shares upon the exercise of any subscription rights under this Warrant. The Company further covenants that its issuance of this Warrant shall constitute full authority to its officers who are charged with the duty of issuing the requisite Warrant Shares for the Depositary to issue the necessary Warrant ADSs upon the exercise of the subscription rights under this Warrant. The Company will take all such reasonable action as may be necessary to assure that such Warrant Shares and Warrant ADSs may be issued as provided herein without violation of any applicable law or regulation, or of any requirements of the Trading Market upon which the ADSs and/or Ordinary Shares may be listed. The Company covenants that all Warrant Shares represented by Warrant ADSs which may be issued upon the exercise of the subscription rights represented by this Warrant will, upon exercise of the subscription rights represented by this Warrant and payment for such Warrant ADSs in accordance herewith, be duly authorized, validly issued, fully paid and nonassessable and free from all taxes, liens and charges created by the Company in respect of the issue thereof (other than any taxes in respect of any transfer occurring contemporaneously with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nominal value of any Warrant Shares represented by Warrant ADSs above the amount payable therefor upon such exercise immediately prior to such increase in nominal value, (ii) take all such action as may be necessary or appropriate in order that the Company may validly and legally issue fully paid and nonassessable Warrant Shares represented by Warrant ADSs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Kingdom of Denmark,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hereto hereby irrevocably waives, to the fullest extent permitted by applicable law, any and all right to trial by jury in any legal proceeding arising out of or relating to this Warrant.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this Warrant,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represented by Warrant ADSs acquired upon the exercise of this Warrant, if not registered, will have restrictions upon resale imposed by state and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Dr. Neergaards Vej 5f, DK-2970 Hoersholm, Denmark, Attention: </w:t>
      </w:r>
      <w:r>
        <w:rPr>
          <w:rFonts w:ascii="Times New Roman;Times;Serif" w:hAnsi="Times New Roman;Times;Serif"/>
          <w:b/>
          <w:i w:val="false"/>
          <w:caps w:val="false"/>
          <w:smallCaps w:val="false"/>
          <w:sz w:val="20"/>
        </w:rPr>
        <w:t>Anne-Sofie Wiemann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Susanne Bech</w:t>
      </w:r>
      <w:r>
        <w:rPr>
          <w:rFonts w:ascii="Times New Roman;Times;Serif" w:hAnsi="Times New Roman;Times;Serif"/>
          <w:b w:val="false"/>
          <w:i w:val="false"/>
          <w:caps w:val="false"/>
          <w:smallCaps w:val="false"/>
          <w:sz w:val="20"/>
        </w:rPr>
        <w:t xml:space="preserve">, email addresses </w:t>
      </w:r>
      <w:r>
        <w:rPr>
          <w:rFonts w:ascii="Times New Roman;Times;Serif" w:hAnsi="Times New Roman;Times;Serif"/>
          <w:b/>
          <w:i w:val="false"/>
          <w:caps w:val="false"/>
          <w:smallCaps w:val="false"/>
          <w:sz w:val="20"/>
        </w:rPr>
        <w:t>awi@evaxion-biotech.com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sbe@evaxion-biotech.com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investor@evaxion-biotech.com </w:t>
      </w:r>
      <w:r>
        <w:rPr>
          <w:rFonts w:ascii="Times New Roman;Times;Serif" w:hAnsi="Times New Roman;Times;Serif"/>
          <w:b w:val="false"/>
          <w:i w:val="false"/>
          <w:caps w:val="false"/>
          <w:smallCaps w:val="false"/>
          <w:sz w:val="20"/>
        </w:rPr>
        <w:t>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number or address of such Holder appearing on the books of the Company, or if no such email, number or address appears on the books of the Company, then to the most recent email, number or address such Holder has provided to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subscribe for Warrant ADSs, and no enumeration herein of the rights or privileges of the Holder, shall give rise to any liability of the Holder for the subscription price of any Warrant Shares or Warrant ADSs or as a shareholder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Company Acknowledgement; Notice of Successor Danish Counsel</w:t>
      </w:r>
      <w:r>
        <w:rPr>
          <w:rFonts w:ascii="Times New Roman;Times;Serif" w:hAnsi="Times New Roman;Times;Serif"/>
          <w:b w:val="false"/>
          <w:i w:val="false"/>
          <w:caps w:val="false"/>
          <w:smallCaps w:val="false"/>
          <w:sz w:val="20"/>
        </w:rPr>
        <w:t>. The Company acknowledges and agrees that the Holder’s payment of the aggregate Exercise Price to Company Danish Counsel in connection with any exercise hereunder shall be deemed to be the delivery by the Holder of the aggregate Exercise Price to the Company and shall satisfy the Holder’s obligations under this Warrant for the payment of the aggregate Exercise Price in connection with any exercise hereunder and shall require the Company to deliver the Warrant ADSs upon such exercise to the Holder pursuant to the terms hereunder. If the Company changes its Company Danish Counsel after the Initial Exercise Date, the Company shall promptly deliver notice of the successor Company Danish Counsel ((including the bank wire transfer instructions of such successor Company Danish Counsel) to the Holder (including, without limitation, any successor holder of this Warrant) on Company letterhead and executed by the Chief Executive Officer or Chief Financial Officer of the Company, with instructions in writing to pay the aggregate Exercise Price of this Warrant to such successor Company Danish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Reimbursement</w:t>
      </w:r>
      <w:r>
        <w:rPr>
          <w:rFonts w:ascii="Times New Roman;Times;Serif" w:hAnsi="Times New Roman;Times;Serif"/>
          <w:b w:val="false"/>
          <w:i w:val="false"/>
          <w:caps w:val="false"/>
          <w:smallCaps w:val="false"/>
          <w:sz w:val="20"/>
        </w:rPr>
        <w:t>. The Company shall reimburse the Holder for any fees charged to the Holder by the Depositary in connection with the issuance or holding or sale of the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position w:val="-2"/>
          <w:sz w:val="16"/>
          <w:sz w:val="20"/>
        </w:rPr>
      </w:pPr>
      <w:r>
        <w:rPr>
          <w:rFonts w:ascii="Times New Roman;Times;Serif" w:hAnsi="Times New Roman;Times;Serif"/>
          <w:b w:val="false"/>
          <w:i w:val="false"/>
          <w:caps w:val="false"/>
          <w:smallCaps w:val="false"/>
          <w:position w:val="-2"/>
          <w:sz w:val="16"/>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left"/>
        <w:rPr>
          <w:caps w:val="false"/>
          <w:smallCaps w:val="false"/>
        </w:rPr>
      </w:pPr>
      <w:r>
        <w:rPr>
          <w:caps w:val="false"/>
          <w:smallCaps w:val="false"/>
        </w:rPr>
        <w:t> </w:t>
      </w:r>
    </w:p>
    <w:tbl>
      <w:tblPr>
        <w:tblW w:w="2314" w:type="dxa"/>
        <w:jc w:val="left"/>
        <w:tblInd w:w="0" w:type="dxa"/>
        <w:tblLayout w:type="fixed"/>
        <w:tblCellMar>
          <w:top w:w="0" w:type="dxa"/>
          <w:left w:w="0" w:type="dxa"/>
          <w:bottom w:w="0" w:type="dxa"/>
          <w:right w:w="0" w:type="dxa"/>
        </w:tblCellMar>
      </w:tblPr>
      <w:tblGrid>
        <w:gridCol w:w="75"/>
        <w:gridCol w:w="766"/>
        <w:gridCol w:w="1473"/>
      </w:tblGrid>
      <w:tr>
        <w:trPr/>
        <w:tc>
          <w:tcPr>
            <w:tcW w:w="75" w:type="dxa"/>
            <w:tcBorders/>
            <w:vAlign w:val="center"/>
          </w:tcPr>
          <w:p>
            <w:pPr>
              <w:pStyle w:val="TableContents"/>
              <w:bidi w:val="0"/>
              <w:spacing w:before="0" w:after="283"/>
              <w:jc w:val="left"/>
              <w:rPr/>
            </w:pPr>
            <w:r>
              <w:rPr/>
              <w:t> </w:t>
            </w:r>
          </w:p>
        </w:tc>
        <w:tc>
          <w:tcPr>
            <w:tcW w:w="223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EVAXION BIOTECH A/S</w:t>
            </w:r>
          </w:p>
        </w:tc>
      </w:tr>
      <w:tr>
        <w:trPr/>
        <w:tc>
          <w:tcPr>
            <w:tcW w:w="75" w:type="dxa"/>
            <w:tcBorders/>
            <w:vAlign w:val="center"/>
          </w:tcPr>
          <w:p>
            <w:pPr>
              <w:pStyle w:val="TableContents"/>
              <w:bidi w:val="0"/>
              <w:spacing w:before="0" w:after="283"/>
              <w:jc w:val="left"/>
              <w:rPr/>
            </w:pPr>
            <w:r>
              <w:rPr/>
              <w:t> </w:t>
            </w:r>
          </w:p>
        </w:tc>
        <w:tc>
          <w:tcPr>
            <w:tcW w:w="22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7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t>
      </w:r>
      <w:r>
        <w:rPr>
          <w:rFonts w:ascii="Times New Roman;Times;Serif" w:hAnsi="Times New Roman;Times;Serif"/>
          <w:b/>
          <w:i w:val="false"/>
          <w:caps w:val="false"/>
          <w:smallCaps w:val="false"/>
          <w:sz w:val="20"/>
        </w:rPr>
        <w:t>EVAXION BIOTECH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subscribe for ________ Warrant ADSs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lawful money of the United States to be delivered to Company Danish Counsel (as defined in the Warrant) pursuant to the following bank wire transfer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Name</w:t>
      </w:r>
      <w:r>
        <w:rPr>
          <w:rFonts w:ascii="Times New Roman;Times;Serif" w:hAnsi="Times New Roman;Times;Serif"/>
          <w:b w:val="false"/>
          <w:i w:val="false"/>
          <w:caps w:val="false"/>
          <w:smallCaps w:val="false"/>
          <w:sz w:val="20"/>
        </w:rPr>
        <w:t>: Danske Bank</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Address</w:t>
      </w:r>
      <w:r>
        <w:rPr>
          <w:rFonts w:ascii="Times New Roman;Times;Serif" w:hAnsi="Times New Roman;Times;Serif"/>
          <w:b w:val="false"/>
          <w:i w:val="false"/>
          <w:caps w:val="false"/>
          <w:smallCaps w:val="false"/>
          <w:sz w:val="20"/>
        </w:rPr>
        <w:t>: Holmens Kanal 2, 1092 Copenhagen K, Denmark</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Account Name</w:t>
      </w:r>
      <w:r>
        <w:rPr>
          <w:rFonts w:ascii="Times New Roman;Times;Serif" w:hAnsi="Times New Roman;Times;Serif"/>
          <w:b w:val="false"/>
          <w:i w:val="false"/>
          <w:caps w:val="false"/>
          <w:smallCaps w:val="false"/>
          <w:sz w:val="20"/>
        </w:rPr>
        <w:t>: Mazanti-Andersen main client account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Account Number</w:t>
      </w:r>
      <w:r>
        <w:rPr>
          <w:rFonts w:ascii="Times New Roman;Times;Serif" w:hAnsi="Times New Roman;Times;Serif"/>
          <w:b w:val="false"/>
          <w:i w:val="false"/>
          <w:caps w:val="false"/>
          <w:smallCaps w:val="false"/>
          <w:sz w:val="20"/>
        </w:rPr>
        <w:t>: 4777175572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IBAN</w:t>
      </w:r>
      <w:r>
        <w:rPr>
          <w:rFonts w:ascii="Times New Roman;Times;Serif" w:hAnsi="Times New Roman;Times;Serif"/>
          <w:b w:val="false"/>
          <w:i w:val="false"/>
          <w:caps w:val="false"/>
          <w:smallCaps w:val="false"/>
          <w:sz w:val="20"/>
        </w:rPr>
        <w:t>: DK7130004777175572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SWIFT-BIC</w:t>
      </w:r>
      <w:r>
        <w:rPr>
          <w:rFonts w:ascii="Times New Roman;Times;Serif" w:hAnsi="Times New Roman;Times;Serif"/>
          <w:b w:val="false"/>
          <w:i w:val="false"/>
          <w:caps w:val="false"/>
          <w:smallCaps w:val="false"/>
          <w:sz w:val="20"/>
        </w:rPr>
        <w:t>: DABADKKK</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Reference</w:t>
      </w:r>
      <w:r>
        <w:rPr>
          <w:rFonts w:ascii="Times New Roman;Times;Serif" w:hAnsi="Times New Roman;Times;Serif"/>
          <w:b w:val="false"/>
          <w:i w:val="false"/>
          <w:caps w:val="false"/>
          <w:smallCaps w:val="false"/>
          <w:sz w:val="20"/>
        </w:rPr>
        <w:t>: Evaxion Biotech A/S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Contact Person and Telephone Number</w:t>
      </w:r>
      <w:r>
        <w:rPr>
          <w:rFonts w:ascii="Times New Roman;Times;Serif" w:hAnsi="Times New Roman;Times;Serif"/>
          <w:b w:val="false"/>
          <w:i w:val="false"/>
          <w:caps w:val="false"/>
          <w:smallCaps w:val="false"/>
          <w:sz w:val="20"/>
        </w:rPr>
        <w:t>: Lars Lüthjohan. Ph. no.: +4540283536 E-mail: LLJ@mazanti.dk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ADSs in the name of the undersigned or in such other name as is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 name and number: 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DTC Participant: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of DTC Participant Contact: 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0" w:right="0" w:hanging="0"/>
        <w:jc w:val="left"/>
        <w:rPr>
          <w:caps w:val="false"/>
          <w:smallCaps w:val="false"/>
        </w:rPr>
      </w:pPr>
      <w:r>
        <w:rPr>
          <w:caps w:val="false"/>
          <w:smallCaps w:val="false"/>
        </w:rPr>
        <w:t> </w:t>
      </w:r>
    </w:p>
    <w:tbl>
      <w:tblPr>
        <w:tblW w:w="2585" w:type="dxa"/>
        <w:jc w:val="left"/>
        <w:tblInd w:w="0" w:type="dxa"/>
        <w:tblLayout w:type="fixed"/>
        <w:tblCellMar>
          <w:top w:w="0" w:type="dxa"/>
          <w:left w:w="0" w:type="dxa"/>
          <w:bottom w:w="0" w:type="dxa"/>
          <w:right w:w="0" w:type="dxa"/>
        </w:tblCellMar>
      </w:tblPr>
      <w:tblGrid>
        <w:gridCol w:w="2525"/>
        <w:gridCol w:w="60"/>
      </w:tblGrid>
      <w:tr>
        <w:trPr/>
        <w:tc>
          <w:tcPr>
            <w:tcW w:w="2525" w:type="dxa"/>
            <w:tcBorders/>
            <w:vAlign w:val="center"/>
          </w:tcPr>
          <w:p>
            <w:pPr>
              <w:pStyle w:val="TableContents"/>
              <w:bidi w:val="0"/>
              <w:spacing w:before="0" w:after="283"/>
              <w:jc w:val="left"/>
              <w:rPr/>
            </w:pPr>
            <w:r>
              <w:rPr/>
              <w:t xml:space="preserve">Name of Investing Entity: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5135" w:type="dxa"/>
        <w:jc w:val="left"/>
        <w:tblInd w:w="0" w:type="dxa"/>
        <w:tblLayout w:type="fixed"/>
        <w:tblCellMar>
          <w:top w:w="0" w:type="dxa"/>
          <w:left w:w="0" w:type="dxa"/>
          <w:bottom w:w="0" w:type="dxa"/>
          <w:right w:w="0" w:type="dxa"/>
        </w:tblCellMar>
      </w:tblPr>
      <w:tblGrid>
        <w:gridCol w:w="5075"/>
        <w:gridCol w:w="60"/>
      </w:tblGrid>
      <w:tr>
        <w:trPr/>
        <w:tc>
          <w:tcPr>
            <w:tcW w:w="5075" w:type="dxa"/>
            <w:tcBorders/>
            <w:vAlign w:val="center"/>
          </w:tcPr>
          <w:p>
            <w:pPr>
              <w:pStyle w:val="TableContents"/>
              <w:bidi w:val="0"/>
              <w:spacing w:before="0" w:after="283"/>
              <w:jc w:val="left"/>
              <w:rPr/>
            </w:pPr>
            <w:r>
              <w:rPr>
                <w:i/>
              </w:rPr>
              <w:t>Signature of Authorized Signatory of Investing Entity</w:t>
            </w: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3065" w:type="dxa"/>
        <w:jc w:val="left"/>
        <w:tblInd w:w="0" w:type="dxa"/>
        <w:tblLayout w:type="fixed"/>
        <w:tblCellMar>
          <w:top w:w="0" w:type="dxa"/>
          <w:left w:w="0" w:type="dxa"/>
          <w:bottom w:w="0" w:type="dxa"/>
          <w:right w:w="0" w:type="dxa"/>
        </w:tblCellMar>
      </w:tblPr>
      <w:tblGrid>
        <w:gridCol w:w="3005"/>
        <w:gridCol w:w="60"/>
      </w:tblGrid>
      <w:tr>
        <w:trPr/>
        <w:tc>
          <w:tcPr>
            <w:tcW w:w="3005" w:type="dxa"/>
            <w:tcBorders/>
            <w:vAlign w:val="center"/>
          </w:tcPr>
          <w:p>
            <w:pPr>
              <w:pStyle w:val="TableContents"/>
              <w:bidi w:val="0"/>
              <w:spacing w:before="0" w:after="283"/>
              <w:jc w:val="left"/>
              <w:rPr/>
            </w:pPr>
            <w:r>
              <w:rPr/>
              <w:t>Name of Authorized Signatory: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2990" w:type="dxa"/>
        <w:jc w:val="left"/>
        <w:tblInd w:w="0" w:type="dxa"/>
        <w:tblLayout w:type="fixed"/>
        <w:tblCellMar>
          <w:top w:w="0" w:type="dxa"/>
          <w:left w:w="0" w:type="dxa"/>
          <w:bottom w:w="0" w:type="dxa"/>
          <w:right w:w="0" w:type="dxa"/>
        </w:tblCellMar>
      </w:tblPr>
      <w:tblGrid>
        <w:gridCol w:w="2930"/>
        <w:gridCol w:w="60"/>
      </w:tblGrid>
      <w:tr>
        <w:trPr/>
        <w:tc>
          <w:tcPr>
            <w:tcW w:w="2930" w:type="dxa"/>
            <w:tcBorders/>
            <w:vAlign w:val="center"/>
          </w:tcPr>
          <w:p>
            <w:pPr>
              <w:pStyle w:val="TableContents"/>
              <w:bidi w:val="0"/>
              <w:spacing w:before="0" w:after="283"/>
              <w:jc w:val="left"/>
              <w:rPr/>
            </w:pPr>
            <w:r>
              <w:rPr/>
              <w:t xml:space="preserve">Title of Authorized Signatory: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650" w:type="dxa"/>
        <w:jc w:val="left"/>
        <w:tblInd w:w="0" w:type="dxa"/>
        <w:tblLayout w:type="fixed"/>
        <w:tblCellMar>
          <w:top w:w="0" w:type="dxa"/>
          <w:left w:w="0" w:type="dxa"/>
          <w:bottom w:w="0" w:type="dxa"/>
          <w:right w:w="0" w:type="dxa"/>
        </w:tblCellMar>
      </w:tblPr>
      <w:tblGrid>
        <w:gridCol w:w="590"/>
        <w:gridCol w:w="60"/>
      </w:tblGrid>
      <w:tr>
        <w:trPr/>
        <w:tc>
          <w:tcPr>
            <w:tcW w:w="590" w:type="dxa"/>
            <w:tcBorders/>
            <w:vAlign w:val="center"/>
          </w:tcPr>
          <w:p>
            <w:pPr>
              <w:pStyle w:val="TableContents"/>
              <w:bidi w:val="0"/>
              <w:spacing w:before="0" w:after="283"/>
              <w:jc w:val="left"/>
              <w:rPr/>
            </w:pPr>
            <w:r>
              <w:rPr/>
              <w:t xml:space="preserve">Date: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90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subscribe for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VALUE RECEIVED, the foregoing Warrant and all rights evidenced thereby are hereby assigned to </w:t>
      </w:r>
    </w:p>
    <w:p>
      <w:pPr>
        <w:pStyle w:val="TextBody"/>
        <w:bidi w:val="0"/>
        <w:spacing w:before="0" w:after="0"/>
        <w:jc w:val="left"/>
        <w:rPr>
          <w:caps w:val="false"/>
          <w:smallCaps w:val="false"/>
        </w:rPr>
      </w:pPr>
      <w:r>
        <w:rPr>
          <w:caps w:val="false"/>
          <w:smallCaps w:val="false"/>
        </w:rPr>
        <w:t> </w:t>
      </w:r>
    </w:p>
    <w:tbl>
      <w:tblPr>
        <w:tblW w:w="4269" w:type="dxa"/>
        <w:jc w:val="left"/>
        <w:tblInd w:w="0" w:type="dxa"/>
        <w:tblLayout w:type="fixed"/>
        <w:tblCellMar>
          <w:top w:w="0" w:type="dxa"/>
          <w:left w:w="0" w:type="dxa"/>
          <w:bottom w:w="0" w:type="dxa"/>
          <w:right w:w="0" w:type="dxa"/>
        </w:tblCellMar>
      </w:tblPr>
      <w:tblGrid>
        <w:gridCol w:w="2762"/>
        <w:gridCol w:w="202"/>
        <w:gridCol w:w="205"/>
        <w:gridCol w:w="1100"/>
      </w:tblGrid>
      <w:tr>
        <w:trPr/>
        <w:tc>
          <w:tcPr>
            <w:tcW w:w="2762" w:type="dxa"/>
            <w:tcBorders/>
            <w:vAlign w:val="center"/>
          </w:tcPr>
          <w:p>
            <w:pPr>
              <w:pStyle w:val="TableContents"/>
              <w:bidi w:val="0"/>
              <w:spacing w:before="0" w:after="283"/>
              <w:jc w:val="left"/>
              <w:rPr/>
            </w:pPr>
            <w:r>
              <w:rPr/>
              <w:t>Name:</w:t>
            </w:r>
          </w:p>
        </w:tc>
        <w:tc>
          <w:tcPr>
            <w:tcW w:w="202"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276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10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w:t>
            </w:r>
          </w:p>
        </w:tc>
      </w:tr>
      <w:tr>
        <w:trPr/>
        <w:tc>
          <w:tcPr>
            <w:tcW w:w="3169" w:type="dxa"/>
            <w:gridSpan w:val="3"/>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16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762"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w:t>
            </w:r>
          </w:p>
        </w:tc>
      </w:tr>
      <w:tr>
        <w:trPr/>
        <w:tc>
          <w:tcPr>
            <w:tcW w:w="3169" w:type="dxa"/>
            <w:gridSpan w:val="3"/>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16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Phone Number:</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69" w:type="dxa"/>
            <w:gridSpan w:val="3"/>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16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Address:</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69" w:type="dxa"/>
            <w:gridSpan w:val="3"/>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16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_______________ __, ______</w:t>
            </w:r>
          </w:p>
        </w:tc>
        <w:tc>
          <w:tcPr>
            <w:tcW w:w="1100" w:type="dxa"/>
            <w:tcBorders/>
            <w:vAlign w:val="center"/>
          </w:tcPr>
          <w:p>
            <w:pPr>
              <w:pStyle w:val="TableContents"/>
              <w:bidi w:val="0"/>
              <w:spacing w:before="0" w:after="283"/>
              <w:jc w:val="left"/>
              <w:rPr/>
            </w:pPr>
            <w:r>
              <w:rPr/>
              <w:t> </w:t>
            </w:r>
          </w:p>
        </w:tc>
      </w:tr>
      <w:tr>
        <w:trPr/>
        <w:tc>
          <w:tcPr>
            <w:tcW w:w="3169" w:type="dxa"/>
            <w:gridSpan w:val="3"/>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27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 Signature:</w:t>
            </w:r>
          </w:p>
        </w:tc>
        <w:tc>
          <w:tcPr>
            <w:tcW w:w="202" w:type="dxa"/>
            <w:tcBorders>
              <w:bottom w:val="single" w:sz="8" w:space="0" w:color="000000"/>
            </w:tcBorders>
            <w:tcMar>
              <w:bottom w:w="28" w:type="dxa"/>
            </w:tcMar>
            <w:vAlign w:val="center"/>
          </w:tcPr>
          <w:p>
            <w:pPr>
              <w:pStyle w:val="TableContents"/>
              <w:bidi w:val="0"/>
              <w:spacing w:before="0" w:after="283"/>
              <w:jc w:val="left"/>
              <w:rPr/>
            </w:pPr>
            <w:r>
              <w:rPr/>
              <w:t> </w:t>
            </w:r>
          </w:p>
        </w:tc>
        <w:tc>
          <w:tcPr>
            <w:tcW w:w="205"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169" w:type="dxa"/>
            <w:gridSpan w:val="3"/>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27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 Address:</w:t>
            </w:r>
          </w:p>
        </w:tc>
        <w:tc>
          <w:tcPr>
            <w:tcW w:w="202" w:type="dxa"/>
            <w:tcBorders>
              <w:bottom w:val="single" w:sz="8" w:space="0" w:color="000000"/>
            </w:tcBorders>
            <w:tcMar>
              <w:bottom w:w="28" w:type="dxa"/>
            </w:tcMar>
            <w:vAlign w:val="center"/>
          </w:tcPr>
          <w:p>
            <w:pPr>
              <w:pStyle w:val="TableContents"/>
              <w:bidi w:val="0"/>
              <w:spacing w:before="0" w:after="283"/>
              <w:jc w:val="left"/>
              <w:rPr/>
            </w:pPr>
            <w:r>
              <w:rPr/>
              <w:t> </w:t>
            </w:r>
          </w:p>
        </w:tc>
        <w:tc>
          <w:tcPr>
            <w:tcW w:w="205"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AGENT WARRANT TO SUBSCRIBE FOR ORDINARY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REPRESENTED BY 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EVAXION BIOTECH A/S</w:t>
      </w:r>
    </w:p>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2270"/>
        <w:gridCol w:w="3695"/>
      </w:tblGrid>
      <w:tr>
        <w:trPr/>
        <w:tc>
          <w:tcPr>
            <w:tcW w:w="2270" w:type="dxa"/>
            <w:tcBorders/>
            <w:vAlign w:val="center"/>
          </w:tcPr>
          <w:p>
            <w:pPr>
              <w:pStyle w:val="TableContents"/>
              <w:bidi w:val="0"/>
              <w:spacing w:before="0" w:after="283"/>
              <w:jc w:val="left"/>
              <w:rPr/>
            </w:pPr>
            <w:r>
              <w:rPr/>
              <w:t>Warrant ADSs: ______</w:t>
            </w:r>
          </w:p>
        </w:tc>
        <w:tc>
          <w:tcPr>
            <w:tcW w:w="3695" w:type="dxa"/>
            <w:tcBorders/>
            <w:vAlign w:val="center"/>
          </w:tcPr>
          <w:p>
            <w:pPr>
              <w:pStyle w:val="TableContents"/>
              <w:bidi w:val="0"/>
              <w:spacing w:before="0" w:after="283"/>
              <w:jc w:val="right"/>
              <w:rPr/>
            </w:pPr>
            <w:r>
              <w:rPr/>
              <w:t>Initial Exercise Date: February 5,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PLACEMENT AGENT WARRANT TO SUBSCRIBE FOR ORDINARY SHARES REPRESENTED BY AMERICAN DEPOSITARY SHARES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February 1, 2029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Evaxion Biotech A/S, a public limited liability company incorporated under the laws of the Kingdom of Denmark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______ Ordinary Shares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represented by _______ ADSs (the “</w:t>
      </w:r>
      <w:r>
        <w:rPr>
          <w:rFonts w:ascii="Times New Roman;Times;Serif" w:hAnsi="Times New Roman;Times;Serif"/>
          <w:b w:val="false"/>
          <w:i w:val="false"/>
          <w:caps w:val="false"/>
          <w:smallCaps w:val="false"/>
          <w:sz w:val="20"/>
          <w:u w:val="single"/>
        </w:rPr>
        <w:t>Warrant ADSs</w:t>
      </w:r>
      <w:r>
        <w:rPr>
          <w:rFonts w:ascii="Times New Roman;Times;Serif" w:hAnsi="Times New Roman;Times;Serif"/>
          <w:b w:val="false"/>
          <w:i w:val="false"/>
          <w:caps w:val="false"/>
          <w:smallCaps w:val="false"/>
          <w:sz w:val="20"/>
        </w:rPr>
        <w:t>”), as subject to adjustment hereunder. The subscription price of one Warrant ADS under this Warrant shall be equal to the Exercise Price, as defined in Section 2(b). This Warant is being issued pursuant to that certain Engagement Agreement, dated as of September 27, 2023, as amended, by and between the Company and 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Warrant, the following terms have the meanings indicated in this Section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means American Depositary Shares issued pursuant to the Deposit Agreement, each representing ten (10)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or national holiday in the United States or Denmark or any day on which banking institutions in the State of New York or Denmark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and Copenhagen, Denmark are generally open for use by customers on such day or other governmental action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Danish Counsel</w:t>
      </w:r>
      <w:r>
        <w:rPr>
          <w:rFonts w:ascii="Times New Roman;Times;Serif" w:hAnsi="Times New Roman;Times;Serif"/>
          <w:b w:val="false"/>
          <w:i w:val="false"/>
          <w:caps w:val="false"/>
          <w:smallCaps w:val="false"/>
          <w:sz w:val="20"/>
        </w:rPr>
        <w:t>” means Mazanti-Andersen, Amaliegade 10 1256 Copenhagen K, Denmark, or any successor Danish counsel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means the Deposit Agreement, dated as of February 4, 2021, among the Company, The Bank of New York Mellon as Depositary and the owners and holders of ADSs from time to time, as such agreement may be amended or supplemented.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The Bank of New York Mellon and any successor depositary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ordinary shares of the Company, DKK 1 nominal value per share, and any other class of securities into which such securities may hereafter be reclassified or changed.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means the securities purchase agreement, dated as of February 1, 2024, by and between the Company and each of the purchasers signatory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Company’s registration statement on Form F-1 (File No. 333-276505).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Ordinary Shares and/or ADSs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Computershare A/S, the current transfer agent of the Company, with a mailing address of Lottenborgvej 26 D, 1., DK-2800 Kgs. Lyngby, Denmark and company registration number (CVR) no. 27088899, and any successor transfer agent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L.P. (based on a Trading Day from 9:30 a.m. (New York City time) to 4:02 p.m. (New York City time)), (b) if OTCQB Venture Market (“</w:t>
      </w:r>
      <w:r>
        <w:rPr>
          <w:rFonts w:ascii="Times New Roman;Times;Serif" w:hAnsi="Times New Roman;Times;Serif"/>
          <w:b w:val="false"/>
          <w:i w:val="false"/>
          <w:caps w:val="false"/>
          <w:smallCaps w:val="false"/>
          <w:sz w:val="20"/>
          <w:u w:val="single"/>
        </w:rPr>
        <w:t>OTCQB</w:t>
      </w:r>
      <w:r>
        <w:rPr>
          <w:rFonts w:ascii="Times New Roman;Times;Serif" w:hAnsi="Times New Roman;Times;Serif"/>
          <w:b w:val="false"/>
          <w:i w:val="false"/>
          <w:caps w:val="false"/>
          <w:smallCaps w:val="false"/>
          <w:sz w:val="20"/>
        </w:rPr>
        <w:t>”) or OTCQX Best Market (“</w:t>
      </w:r>
      <w:r>
        <w:rPr>
          <w:rFonts w:ascii="Times New Roman;Times;Serif" w:hAnsi="Times New Roman;Times;Serif"/>
          <w:b w:val="false"/>
          <w:i w:val="false"/>
          <w:caps w:val="false"/>
          <w:smallCaps w:val="false"/>
          <w:sz w:val="20"/>
          <w:u w:val="single"/>
        </w:rPr>
        <w:t>OTCQX</w:t>
      </w:r>
      <w:r>
        <w:rPr>
          <w:rFonts w:ascii="Times New Roman;Times;Serif" w:hAnsi="Times New Roman;Times;Serif"/>
          <w:b w:val="false"/>
          <w:i w:val="false"/>
          <w:caps w:val="false"/>
          <w:smallCaps w:val="false"/>
          <w:sz w:val="20"/>
        </w:rPr>
        <w:t>”) is not a Trading Market, the volume weighted average price of the ADSs for such date (or the nearest preceding date) on OTCQB or OTCQX as applicable, (c) if the ADSs are not then listed or quoted for trading on OTCQB or OTCQX and if prices for the ADSs are then reported in the “Pink” Open Market (“</w:t>
      </w:r>
      <w:r>
        <w:rPr>
          <w:rFonts w:ascii="Times New Roman;Times;Serif" w:hAnsi="Times New Roman;Times;Serif"/>
          <w:b w:val="false"/>
          <w:i w:val="false"/>
          <w:caps w:val="false"/>
          <w:smallCaps w:val="false"/>
          <w:sz w:val="20"/>
          <w:u w:val="single"/>
        </w:rPr>
        <w:t>Pink Market</w:t>
      </w:r>
      <w:r>
        <w:rPr>
          <w:rFonts w:ascii="Times New Roman;Times;Serif" w:hAnsi="Times New Roman;Times;Serif"/>
          <w:b w:val="false"/>
          <w:i w:val="false"/>
          <w:caps w:val="false"/>
          <w:smallCaps w:val="false"/>
          <w:sz w:val="20"/>
        </w:rPr>
        <w:t>”) operated by OTC Markets, Inc. (or a similar organization or agency succeeding to its functions of reporting prices), the most recent bid price per ADS so reported, or (d) in all other cases, the fair market value of an ADS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This Warrant may be exercised,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On the Trading Day (based on New York City time) on which the delivery of the Notice of Exercise occurs, the Holder shall deliver to the Company Danish Counsel the aggregate Exercise Price for the Warrant ADSs specified in the applicable Notice of Exercise by wire transfer to the Company Danish Counsel pursuant to the bank wire transfer instructions set forth on the Notice of Exercise attached hereto.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subscribed for all of the Warrant ADSs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the subscription of a portion of the total number of Warrant ADSs available hereunder shall have the effect of reducing the outstanding number of Warrant ADSs purchasable hereunder in an amount equal to the applicable number of Warrant ADSs subscribed. The Company shall record the number of Warrants issued to the Holder and the number of Warrant ADSs subscribed through exercise and the date of such subscription of the Warrant ADSs. The Company shall deliver any objection to any Notice of Exercise within one (1) Trading Day of receipt of such notice. The Holder and any assignee, by acceptance of this Warrant, acknowledge and agree that, by reason of the provisions of this paragraph, following the subscription for a portion of the Warrant ADSs hereunder, the number of Warrant ADSs available for subscription hereunder at any given time may be less than the amount stated on the face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per ADS under this Warrant shall be </w:t>
      </w:r>
      <w:r>
        <w:rPr>
          <w:rFonts w:ascii="Times New Roman;Times;Serif" w:hAnsi="Times New Roman;Times;Serif"/>
          <w:b/>
          <w:i w:val="false"/>
          <w:caps w:val="false"/>
          <w:smallCaps w:val="false"/>
          <w:sz w:val="20"/>
        </w:rPr>
        <w:t>$5.40</w:t>
      </w:r>
      <w:r>
        <w:rPr>
          <w:rFonts w:ascii="Times New Roman;Times;Serif" w:hAnsi="Times New Roman;Times;Serif"/>
          <w:b w:val="false"/>
          <w:i w:val="false"/>
          <w:caps w:val="false"/>
          <w:smallCaps w:val="false"/>
          <w:sz w:val="20"/>
        </w:rPr>
        <w:t>,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Unavailability of Registration Statement</w:t>
      </w:r>
      <w:r>
        <w:rPr>
          <w:rFonts w:ascii="Times New Roman;Times;Serif" w:hAnsi="Times New Roman;Times;Serif"/>
          <w:b w:val="false"/>
          <w:i w:val="false"/>
          <w:caps w:val="false"/>
          <w:smallCaps w:val="false"/>
          <w:sz w:val="20"/>
        </w:rPr>
        <w:t>. Notwithstanding anything to the contrary contained herein, if there is no effective registration statement registering, or the prospectus contained therein is not available for, the sale of all of Warrant ADSs, representing the underlying Warrant Shares, issuable under this Warrant at any time following the Initial Exercise Date and ending on the Termination Date, the Holder shall be permitted to exercise this Warrant by delivery of a Notice of Exercise to the Company, and, within one (1) Trading Day (based on New York City time) following the delivery of such Notice of Exercise, deliver to the Company Danish Counsel the aggregate Exercise Price with respect to such exercise of this Warrant. Upon delivery by the Holder of a Notice of Exercise during a Registration Failure Period (as defined below) and the timely payment by the Holder of the aggregate Exercise Price, the Company shall be required to (1) pay in cash to the Holder on each Trading Day during the Registration Failure Period an amount equal to 1.0% of the product of (A) the number of Warrant ADSs subject to the exercise by the Holder pursuant to the immediately preceding sentence and (B) the VWAP of the ADSs on the date of delivery of the Notice of Exercise to the Company, and (2) on the Trading Day immediately following the date on which the Registration Failure Period ends, deliver all of the Warrant ADSs required to be delivered pursuant to such Notice of Exercise by crediting the account of the Holder’s prime broker with The Depository Trust Company through DWAC (as defined below). The Company shall pay any cash amounts owed pursuant to clause (1) of the immediately preceding sentence on each corresponding Trading Day during the Registration Failure Period. As used herein, “</w:t>
      </w:r>
      <w:r>
        <w:rPr>
          <w:rFonts w:ascii="Times New Roman;Times;Serif" w:hAnsi="Times New Roman;Times;Serif"/>
          <w:b w:val="false"/>
          <w:i w:val="false"/>
          <w:caps w:val="false"/>
          <w:smallCaps w:val="false"/>
          <w:sz w:val="20"/>
          <w:u w:val="single"/>
        </w:rPr>
        <w:t>Registration Failure Period</w:t>
      </w:r>
      <w:r>
        <w:rPr>
          <w:rFonts w:ascii="Times New Roman;Times;Serif" w:hAnsi="Times New Roman;Times;Serif"/>
          <w:b w:val="false"/>
          <w:i w:val="false"/>
          <w:caps w:val="false"/>
          <w:smallCaps w:val="false"/>
          <w:sz w:val="20"/>
        </w:rPr>
        <w:t>” means the period (x) beginning on the date of delivery of a Notice of Exercise at a time when there is no registration statement registering, or the prospectus contained therein is not available for, the sale of all of the Warrant ADSs, representing the underlying Warrant Shares, issuable under this Warrant, and (y) ending on the later of (A) the date that there is an effective registration statement registering, and the prospectus contained therein is available for, the sale of all of the Warrant ADSs, representing the underlying Warrant Shares, issuable hereunder and (B) the date of delivery of all of the Warrant ADSs required to be delivered pursuant to the Notice of Exercise by crediting the account of the Holder’s prime broker with The Depository Trust Company through DWAC.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Delivery of Warrant ADSs Upon Exercise</w:t>
      </w:r>
      <w:r>
        <w:rPr>
          <w:rFonts w:ascii="Times New Roman;Times;Serif" w:hAnsi="Times New Roman;Times;Serif"/>
          <w:b w:val="false"/>
          <w:i w:val="false"/>
          <w:caps w:val="false"/>
          <w:smallCaps w:val="false"/>
          <w:sz w:val="20"/>
        </w:rPr>
        <w:t>. Upon the exercise of this Warrant, the Company shall enter the Warrant Shares in the name of the Holder in the Company’s share register, deposit the Warrant Shares in connection with such exercise with the Depositary for the ADSs, and instruct the Depositary to transmit the Warrant ADSs purchased hereunder to the Holder by crediting the account of the Holder’s or its designee’s balance account with The Depository Trust Company through its Deposit/Withdrawal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Depositary is then a participant in such system and there is an effective registration statement permitting the issuance of the Warrant ADSs, representing the underlying Warrant Shares, to the Holder, by the date that is the earlier of (i) two (2) Trading Days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ADS Delivery Date</w:t>
      </w:r>
      <w:r>
        <w:rPr>
          <w:rFonts w:ascii="Times New Roman;Times;Serif" w:hAnsi="Times New Roman;Times;Serif"/>
          <w:b w:val="false"/>
          <w:i w:val="false"/>
          <w:caps w:val="false"/>
          <w:smallCaps w:val="false"/>
          <w:sz w:val="20"/>
        </w:rPr>
        <w:t>”), provided that the Company shall not be obligated to deliver the Warrant ADSs hereunder unless the Company Danish Counsel has received the aggregate Exercise Price on or before the Trading Day (based on New York City time) immediately prior to the Warrant ADS Delivery Date. Upon delivery of the Notice of Exercise, the Holder shall be deemed for all corporate purposes to have become the holder of record of the Warrant ADSs with respect to which this Warrant has been exercised, irrespective of the date of delivery of the Warrant ADSs, provided that payment of the aggregate Exercise Price is received by the Warrant ADS Delivery Date. If the Company fails for any reason to cause the Depositary to deliver to the Holder the Warrant ADSs subject to a Notice of Exercise by the Warrant ADS Delivery Date, the Company shall pay to the Holder, in cash, as liquidated damages and not as a penalty, for each $1,000 of Warrant ADSs subject to such exercise (based on the VWAP of the ADSs on the date of the applicable Notice of Exercise), $10 per Trading Day (increasing to $20 per Trading Day on the third Trading Day after the Warrant ADS Delivery Date) for each Trading Day after such Warrant ADS Delivery Date until such Warrant ADSs are delivered or the Holder rescinds such exercise. The Company agrees to maintain a depositary and a transfer agent that each are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ADSs as in effect on the date of delivery of the Notice of Exercise. Notwithstanding the foregoing, with respect to any Notice(s) of Exercise delivered on or prior to 12:00 p.m. (New York City time) on the Trading Day prior to the Initial Exercise Date, which may be delivered at any time after the time of execution of the Purchase Agreement, the Company agrees to deliver the Warrant ADSs subject to such notice(s) by 4:00 p.m. (New York City time) on the Initial Exercise Date and the Initial Exercise Date shall be the Warrant ADS Delivery Date for purposes hereunder, provided that payment of the aggregate Exercise Price is delivered to Company Danish Counsel by 12:00 p.m. (New York City time) on the Trading Day prior to the Initial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ADSs, deliver to the Holder a new Warrant certificate evidencing the rights of the Holder to subscribe for the unsubscribed Warrant ADSs called for by this Warrant, which new Warrant shall in all other respects be identical with this Warrant.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Depositary to transmit to the Holder the Warrant ADSs pursuant to Section 2(d)(i) by the Warrant ADS Delivery Date, then the Holder will have the right to rescind such exercise prior to the delivery of such Warrant ADSs hereunder (with the effect that the Holder’s right to acquire such Warrant ADSs pursuant to this Warrant shall be restored) and the Company shall return to the Holder the aggregate Exercise Price paid to the Company Danish Counsel for such Warrant ADSs.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Compensation for Buy-In on Failure to Timely Deliver Warrant ADSs Upon Exercise</w:t>
      </w:r>
      <w:r>
        <w:rPr>
          <w:rFonts w:ascii="Times New Roman;Times;Serif" w:hAnsi="Times New Roman;Times;Serif"/>
          <w:b w:val="false"/>
          <w:i w:val="false"/>
          <w:caps w:val="false"/>
          <w:smallCaps w:val="false"/>
          <w:sz w:val="20"/>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equivalent number of Warrant ADSs for which such exercise was not honored and return any amount received by the Company Danish Counsel in respect of the Exercise Price for those Warrant ADSs (in which case such exercise shall be deemed rescinded) or deliver to the Holder the number of Warrant ADSs that would have been issued had the Company timely complied with its exercise and delivery obligations hereunder. For example, if the Holder purchases ADSs having a total purchase price of $11,000 to cover a Buy-In with respect to an attempted exercise of Warrants for ADSs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ADSs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Fractional Ordinary Shares or Warrant ADSs</w:t>
      </w:r>
      <w:r>
        <w:rPr>
          <w:rFonts w:ascii="Times New Roman;Times;Serif" w:hAnsi="Times New Roman;Times;Serif"/>
          <w:b w:val="false"/>
          <w:i w:val="false"/>
          <w:caps w:val="false"/>
          <w:smallCaps w:val="false"/>
          <w:sz w:val="20"/>
        </w:rPr>
        <w:t>. No fractional Warrant Shares or Warrant ADSs shall be issued upon the exercise of this Warrant. As to any fraction of a Warrant ADS which the Holder would otherwise be entitled to subscribe upon such exercise, the Company shall, at its election, either pay a cash adjustment in respect of such final fraction in an amount equal to such fraction multiplied by the Exercise Price or round up to the next whole ADS, provided that the fraction of an ADS shall not be rounded up to the next whole ADS if such rounding would result in the issue price being lower than the nominal value of the Ordinary Shares.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ADSs shall be made without charge to the Holder for any issue or transfer tax or other incidental expense in respect of the issuance of such Warrant ADSs, all of which taxes and expenses shall be paid by the Company, and such Warrant ADSs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ADSs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Depositary and Transfer Agent fees required for same-day processing of any Notice of Exercise and all fees to the Depository Trust Company (or another established clearing corporation performing similar functions) required for same-day electronic issuance and delivery of the Warrant ADSs. The Company shall pay all applicable fees and expenses of the Depositary and Transfer Agent in connection with the issuance of the Warrants ADSs hereunder.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underlying such Warrant ADSs issuable upon exercise of this Warrant with respect to which such determination is being made, but shall exclude the number of Ordinary Shares underlying Warrant ADSs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annual report on Form 20-F, Report on Form 6-K or other public filings filed with the Commission, as the case may be, (B) a more recent public announcement by the Company or (C) a more recent written notice by the Company or the Depositary or the Transfer Agent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(or, upon election by a Holder prior to the issuance of any Warrants, 9.99%) of the number of Ordinary Shares outstanding immediately after giving effect to the issuance of the Ordinary Shares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its ADSs or Ordinary Shares or any other equity or equity equivalent securities payable in ADSs or Ordinary Shares (which, for avoidance of doubt, shall not include any Warrant Shares or Warrant ADSs issued by the Company upon exercise of this Warrant), (ii) subdivides outstanding Ordinary Shares or ADSs into a larger number of Ordinary Shares or ADSs, as applicable, (iii) combines (including by way of reverse share split) outstanding ADSs or Ordinary Shares into a smaller number of Ordinary Shares or ADSs, as applicable, or (iv) issues by reclassification of ADSs, Ordinary Shares or any shares of capital stock of the Company, then in each case the Exercise Price shall be multiplied by a fraction of which the numerator shall be the number of Ordinary Shares or ADSs as applicable (excluding treasury Ordinary Shares, if any) outstanding immediately before such event and of which the denominator shall be the number of Ordinary Shares or ADSs, as applicable, outstanding immediately after such event, and the number of ADSs issuable upon exercise of this Warrant shall be proportionately adjusted such that the aggregate Exercise Price of this Warrant shall remain unchanged, provided that any reduction in the nominal value of the Ordinary Shares without any dividend or distribution shall not lead to any such adjustment and provided, further, that the Exercise Price cannot be adjusted to a price that is less than the nominal value of the Ordinary Shares.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exclusive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(including Ordinary Shares underlying the ADSs) are permitted to sell, tender or exchange their shares for other securities, cash or property and has been accepted by the holders of 50% or more of the outstanding Ordinary Shares (including Ordinary Shares underlying the ADSs) or 50% or more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50% or more of the outstanding Ordinary Shares (including Ordinary Shares underlying the ADSs) or 50% or more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represented by the Warrant ADSs that would have been issuable upon such exercise immediately prior to the occurrence of such Fundamental Transaction, at the option of the Holder (without regard to any limitation in Section 2(e) on the exercise of this Warrant), the number of shares of capital stock of the successor or acquiring corporation or of the Company, if the Company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xml:space="preserve">”) receivable as a result of such Fundamental Transaction by a holder of the number of Warrant Shares represented by the Warrant ADSs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(including any Warrant Shares underlying the ADSs),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(including Ordinary Shares underlying ADSs) of the Company in connection with the Fundamental Transaction, whether that consideration be in the form of cash, shares or any combination thereof, or whether the holders of Ordinary Shares (including Ordinary Shares underlying ADSs) are given the choice to receive from among alternative forms of consideration in connection with the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holders of Ordinary Shares (including any Ordinary Shares underlying ADSs) of the Company are not offered or paid any consideration in such Fundamental Transaction, such holders of Ordinary Shares (including any Ordinary Shares underlying ADSs) will be deemed to have received common equity of the Successor Entity (which Successor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Ordinary Share being offered in cash, if any, plus the value of any non-cash consideration, if any, being offered in such Fundamental Transaction and (ii)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3(b),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in accordance with the provisions of this Section 3(b)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Warrant Shares underlying the Warrant ADSs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underlying the Warrant ADSs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3(b) regardless of (i) whether the Company has sufficient authorized Ordinary Shares for the issuance of Warrant Shares represented by Warrant ADSs and/or (ii) whether a Fundamental Transaction occurs prior to the Initial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(including Ordinary Shares underlying ADSs, but excluding treasury shares, if any) issued and outstanding.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989"/>
        <w:gridCol w:w="9013"/>
      </w:tblGrid>
      <w:tr>
        <w:trPr/>
        <w:tc>
          <w:tcPr>
            <w:tcW w:w="20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20"/>
              </w:rPr>
            </w:pPr>
            <w:r>
              <w:rPr>
                <w:sz w:val="20"/>
              </w:rPr>
              <w:t>d)</w:t>
            </w:r>
          </w:p>
        </w:tc>
        <w:tc>
          <w:tcPr>
            <w:tcW w:w="9013" w:type="dxa"/>
            <w:tcBorders/>
            <w:vAlign w:val="center"/>
          </w:tcPr>
          <w:p>
            <w:pPr>
              <w:pStyle w:val="TableContents"/>
              <w:bidi w:val="0"/>
              <w:spacing w:before="0" w:after="283"/>
              <w:jc w:val="both"/>
              <w:rPr/>
            </w:pPr>
            <w:r>
              <w:rPr>
                <w:u w:val="single"/>
              </w:rPr>
              <w:t>Notice to Holder</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Ordinary Shares or ADSs,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share exchange or action is expected to become effective or close, and the date as of which it is expected that holders of the Ordinary Shares (including Warrant Shares underlying Warrant ADSs) of record shall be entitled to exchange their Ordinary Shares for securities, cash or other property deliverable upon such reclassification, consolidation, merger, sale, transfer, share exchange or action;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on Form 6-K.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take no action that would result in the Exercise Price per ADS being adjusted hereunder to less than ten (10) Danish Krone, the nominal amount per share of the Ordinary Shares for ten (10) Ordinary Shares, as expressed in United States dollars at the applicable exchange rate published by the Danish National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subscription for Warrant ADSs without having a new Warrant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ADSs issuable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cash payments pursuant to Section 2(d)(i) and Section 2(d)(iv) herein, in no event shall the Company be required to net cash settle an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910"/>
        <w:gridCol w:w="9108"/>
      </w:tblGrid>
      <w:tr>
        <w:trPr/>
        <w:tc>
          <w:tcPr>
            <w:tcW w:w="18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20"/>
              </w:rPr>
            </w:pPr>
            <w:r>
              <w:rPr>
                <w:sz w:val="20"/>
              </w:rPr>
              <w:t>d)</w:t>
            </w:r>
          </w:p>
        </w:tc>
        <w:tc>
          <w:tcPr>
            <w:tcW w:w="9108" w:type="dxa"/>
            <w:tcBorders/>
            <w:vAlign w:val="center"/>
          </w:tcPr>
          <w:p>
            <w:pPr>
              <w:pStyle w:val="TableContents"/>
              <w:bidi w:val="0"/>
              <w:spacing w:before="0" w:after="283"/>
              <w:jc w:val="both"/>
              <w:rPr/>
            </w:pPr>
            <w:r>
              <w:rPr>
                <w:u w:val="single"/>
              </w:rPr>
              <w:t>Authorized Shares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that the Warrant is outstanding, it shall allot a sufficient number of shares to provide for the issuance of the Warrant ADSs and the underlying Ordinary Shares upon the exercise of any subscription rights under this Warrant. The Company further covenants that its issuance of this Warrant shall constitute full authority to its officers who are charged with the duty of issuing the requisite Warrant Shares for the Depositary to issue the necessary Warrant ADSs upon the exercise of the subscription rights under this Warrant. The Company will take all such reasonable action as may be necessary to assure that such Warrant Shares and Warrant ADSs may be issued as provided herein without violation of any applicable law or regulation, or of any requirements of the Trading Market upon which the ADSs and/or Ordinary Shares may be listed. The Company covenants that all Warrant Shares represented by Warrant ADSs which may be issued upon the exercise of the subscription rights represented by this Warrant will, upon exercise of the subscription rights represented by this Warrant and payment for such Warrant ADSs in accordance herewith, be duly authorized, validly issued, fully paid and nonassessable and free from all taxes, liens and charges created by the Company in respect of the issue thereof (other than any taxes in respect of any transfer occurring contemporaneously with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nominal value of any Warrant Shares represented by Warrant ADSs above the amount payable therefor upon such exercise immediately prior to such increase in nominal value, (ii) take all such action as may be necessary or appropriate in order that the Company may validly and legally issue fully paid and nonassessable Warrant Shares represented by Warrant ADSs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Kingdom of Denmark,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hereto hereby irrevocably waives, to the fullest extent permitted by applicable law, any and all right to trial by jury in any legal proceeding arising out of or relating to this Warrant.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this Warrant,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represented by Warrant ADSs acquired upon the exercise of this Warrant, if not registered, will have restrictions upon resale imposed by state and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Dr. Neergaards Vej 5f, DK-2970 Hoersholm, Denmark, Attention: </w:t>
      </w:r>
      <w:r>
        <w:rPr>
          <w:rFonts w:ascii="Times New Roman;Times;Serif" w:hAnsi="Times New Roman;Times;Serif"/>
          <w:b/>
          <w:i w:val="false"/>
          <w:caps w:val="false"/>
          <w:smallCaps w:val="false"/>
          <w:sz w:val="20"/>
        </w:rPr>
        <w:t>Anne-Sofie Wiemann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Susanne Bech</w:t>
      </w:r>
      <w:r>
        <w:rPr>
          <w:rFonts w:ascii="Times New Roman;Times;Serif" w:hAnsi="Times New Roman;Times;Serif"/>
          <w:b w:val="false"/>
          <w:i w:val="false"/>
          <w:caps w:val="false"/>
          <w:smallCaps w:val="false"/>
          <w:sz w:val="20"/>
        </w:rPr>
        <w:t xml:space="preserve">, email addresses </w:t>
      </w:r>
      <w:r>
        <w:rPr>
          <w:rFonts w:ascii="Times New Roman;Times;Serif" w:hAnsi="Times New Roman;Times;Serif"/>
          <w:b/>
          <w:i w:val="false"/>
          <w:caps w:val="false"/>
          <w:smallCaps w:val="false"/>
          <w:sz w:val="20"/>
        </w:rPr>
        <w:t>awi@evaxion-biotech.com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sbe@evaxion-biotech.com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investor@evaxion-biotech.com</w:t>
      </w:r>
      <w:r>
        <w:rPr>
          <w:rFonts w:ascii="Times New Roman;Times;Serif" w:hAnsi="Times New Roman;Times;Serif"/>
          <w:b w:val="false"/>
          <w:i w:val="false"/>
          <w:caps w:val="false"/>
          <w:smallCaps w:val="false"/>
          <w:sz w:val="20"/>
        </w:rPr>
        <w:t xml:space="preserve">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number or address of such Holder appearing on the books of the Company, or if no such email, number or address appears on the books of the Company, then to the most recent email, number or address such Holder has provided to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subscribe for Warrant ADSs, and no enumeration herein of the rights or privileges of the Holder, shall give rise to any liability of the Holder for the subscription price of any Warrant Shares or Warrant ADSs or as a shareholder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Company Acknowledgement; Notice of Successor Danish Counsel</w:t>
      </w:r>
      <w:r>
        <w:rPr>
          <w:rFonts w:ascii="Times New Roman;Times;Serif" w:hAnsi="Times New Roman;Times;Serif"/>
          <w:b w:val="false"/>
          <w:i w:val="false"/>
          <w:caps w:val="false"/>
          <w:smallCaps w:val="false"/>
          <w:sz w:val="20"/>
        </w:rPr>
        <w:t>. The Company acknowledges and agrees that the Holder’s payment of the aggregate Exercise Price to Company Danish Counsel in connection with any exercise hereunder shall be deemed to be the delivery by the Holder of the aggregate Exercise Price to the Company and shall satisfy the Holder’s obligations under this Warrant for the payment of the aggregate Exercise Price in connection with any exercise hereunder and shall require the Company to deliver the Warrant ADSs upon such exercise to the Holder pursuant to the terms hereunder. If the Company changes its Company Danish Counsel after the Initial Exercise Date, the Company shall promptly deliver notice of the successor Company Danish Counsel ((including the bank wire transfer instructions of such successor Company Danish Counsel) to the Holder (including, without limitation, any successor holder of this Warrant) on Company letterhead and executed by the Chief Executive Officer or Chief Financial Officer of the Company, with instructions in writing to pay the aggregate Exercise Price of this Warrant to such successor Company Danish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Reimbursement</w:t>
      </w:r>
      <w:r>
        <w:rPr>
          <w:rFonts w:ascii="Times New Roman;Times;Serif" w:hAnsi="Times New Roman;Times;Serif"/>
          <w:b w:val="false"/>
          <w:i w:val="false"/>
          <w:caps w:val="false"/>
          <w:smallCaps w:val="false"/>
          <w:sz w:val="20"/>
        </w:rPr>
        <w:t>. The Company shall reimburse the Holder for any fees charged to the Holder by the Depositary in connection with the issuance or holding or sale of the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position w:val="-2"/>
          <w:sz w:val="16"/>
          <w:sz w:val="20"/>
        </w:rPr>
      </w:pPr>
      <w:r>
        <w:rPr>
          <w:rFonts w:ascii="Times New Roman;Times;Serif" w:hAnsi="Times New Roman;Times;Serif"/>
          <w:b w:val="false"/>
          <w:i w:val="false"/>
          <w:caps w:val="false"/>
          <w:smallCaps w:val="false"/>
          <w:position w:val="-2"/>
          <w:sz w:val="16"/>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left"/>
        <w:rPr>
          <w:caps w:val="false"/>
          <w:smallCaps w:val="false"/>
        </w:rPr>
      </w:pPr>
      <w:r>
        <w:rPr>
          <w:caps w:val="false"/>
          <w:smallCaps w:val="false"/>
        </w:rPr>
        <w:t> </w:t>
      </w:r>
    </w:p>
    <w:tbl>
      <w:tblPr>
        <w:tblW w:w="2314" w:type="dxa"/>
        <w:jc w:val="left"/>
        <w:tblInd w:w="0" w:type="dxa"/>
        <w:tblLayout w:type="fixed"/>
        <w:tblCellMar>
          <w:top w:w="0" w:type="dxa"/>
          <w:left w:w="0" w:type="dxa"/>
          <w:bottom w:w="0" w:type="dxa"/>
          <w:right w:w="0" w:type="dxa"/>
        </w:tblCellMar>
      </w:tblPr>
      <w:tblGrid>
        <w:gridCol w:w="75"/>
        <w:gridCol w:w="766"/>
        <w:gridCol w:w="1473"/>
      </w:tblGrid>
      <w:tr>
        <w:trPr/>
        <w:tc>
          <w:tcPr>
            <w:tcW w:w="75" w:type="dxa"/>
            <w:tcBorders/>
            <w:vAlign w:val="center"/>
          </w:tcPr>
          <w:p>
            <w:pPr>
              <w:pStyle w:val="TableContents"/>
              <w:bidi w:val="0"/>
              <w:spacing w:before="0" w:after="283"/>
              <w:jc w:val="left"/>
              <w:rPr/>
            </w:pPr>
            <w:r>
              <w:rPr/>
              <w:t> </w:t>
            </w:r>
          </w:p>
        </w:tc>
        <w:tc>
          <w:tcPr>
            <w:tcW w:w="223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EVAXION BIOTECH A/S</w:t>
            </w:r>
          </w:p>
        </w:tc>
      </w:tr>
      <w:tr>
        <w:trPr/>
        <w:tc>
          <w:tcPr>
            <w:tcW w:w="75" w:type="dxa"/>
            <w:tcBorders/>
            <w:vAlign w:val="center"/>
          </w:tcPr>
          <w:p>
            <w:pPr>
              <w:pStyle w:val="TableContents"/>
              <w:bidi w:val="0"/>
              <w:spacing w:before="0" w:after="283"/>
              <w:jc w:val="left"/>
              <w:rPr/>
            </w:pPr>
            <w:r>
              <w:rPr/>
              <w:t> </w:t>
            </w:r>
          </w:p>
        </w:tc>
        <w:tc>
          <w:tcPr>
            <w:tcW w:w="22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7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t>
      </w:r>
      <w:r>
        <w:rPr>
          <w:rFonts w:ascii="Times New Roman;Times;Serif" w:hAnsi="Times New Roman;Times;Serif"/>
          <w:b/>
          <w:i w:val="false"/>
          <w:caps w:val="false"/>
          <w:smallCaps w:val="false"/>
          <w:sz w:val="20"/>
        </w:rPr>
        <w:t>EVAXION BIOTECH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subscribe for ________ Warrant ADSs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lawful money of the United States to be delivered to Company Danish Counsel (as defined in the Warrant) pursuant to the following bank wire transfer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Name</w:t>
      </w:r>
      <w:r>
        <w:rPr>
          <w:rFonts w:ascii="Times New Roman;Times;Serif" w:hAnsi="Times New Roman;Times;Serif"/>
          <w:b w:val="false"/>
          <w:i w:val="false"/>
          <w:caps w:val="false"/>
          <w:smallCaps w:val="false"/>
          <w:sz w:val="20"/>
        </w:rPr>
        <w:t>: Danske Bank</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Address</w:t>
      </w:r>
      <w:r>
        <w:rPr>
          <w:rFonts w:ascii="Times New Roman;Times;Serif" w:hAnsi="Times New Roman;Times;Serif"/>
          <w:b w:val="false"/>
          <w:i w:val="false"/>
          <w:caps w:val="false"/>
          <w:smallCaps w:val="false"/>
          <w:sz w:val="20"/>
        </w:rPr>
        <w:t>: Holmens Kanal 2, 1092 Copenhagen K, Denmark</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Account Name</w:t>
      </w:r>
      <w:r>
        <w:rPr>
          <w:rFonts w:ascii="Times New Roman;Times;Serif" w:hAnsi="Times New Roman;Times;Serif"/>
          <w:b w:val="false"/>
          <w:i w:val="false"/>
          <w:caps w:val="false"/>
          <w:smallCaps w:val="false"/>
          <w:sz w:val="20"/>
        </w:rPr>
        <w:t>: Mazanti-Andersen main client account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Account Number</w:t>
      </w:r>
      <w:r>
        <w:rPr>
          <w:rFonts w:ascii="Times New Roman;Times;Serif" w:hAnsi="Times New Roman;Times;Serif"/>
          <w:b w:val="false"/>
          <w:i w:val="false"/>
          <w:caps w:val="false"/>
          <w:smallCaps w:val="false"/>
          <w:sz w:val="20"/>
        </w:rPr>
        <w:t>: 4777175572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IBAN</w:t>
      </w:r>
      <w:r>
        <w:rPr>
          <w:rFonts w:ascii="Times New Roman;Times;Serif" w:hAnsi="Times New Roman;Times;Serif"/>
          <w:b w:val="false"/>
          <w:i w:val="false"/>
          <w:caps w:val="false"/>
          <w:smallCaps w:val="false"/>
          <w:sz w:val="20"/>
        </w:rPr>
        <w:t>: DK7130004777175572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SWIFT-BIC</w:t>
      </w:r>
      <w:r>
        <w:rPr>
          <w:rFonts w:ascii="Times New Roman;Times;Serif" w:hAnsi="Times New Roman;Times;Serif"/>
          <w:b w:val="false"/>
          <w:i w:val="false"/>
          <w:caps w:val="false"/>
          <w:smallCaps w:val="false"/>
          <w:sz w:val="20"/>
        </w:rPr>
        <w:t>: DABADKKK</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Reference</w:t>
      </w:r>
      <w:r>
        <w:rPr>
          <w:rFonts w:ascii="Times New Roman;Times;Serif" w:hAnsi="Times New Roman;Times;Serif"/>
          <w:b w:val="false"/>
          <w:i w:val="false"/>
          <w:caps w:val="false"/>
          <w:smallCaps w:val="false"/>
          <w:sz w:val="20"/>
        </w:rPr>
        <w:t>: Evaxion Biotech A/S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Contact Person and Telephone Number</w:t>
      </w:r>
      <w:r>
        <w:rPr>
          <w:rFonts w:ascii="Times New Roman;Times;Serif" w:hAnsi="Times New Roman;Times;Serif"/>
          <w:b w:val="false"/>
          <w:i w:val="false"/>
          <w:caps w:val="false"/>
          <w:smallCaps w:val="false"/>
          <w:sz w:val="20"/>
        </w:rPr>
        <w:t>: Lars Lüthjohan. Ph. no.: +4540283536 E-mail: LLJ@mazanti.dk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ADSs in the name of the undersigned or in such other name as is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 name and number: 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DTC Participant: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of DTC Participant Contact: 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0" w:right="0" w:hanging="0"/>
        <w:jc w:val="left"/>
        <w:rPr>
          <w:caps w:val="false"/>
          <w:smallCaps w:val="false"/>
        </w:rPr>
      </w:pPr>
      <w:r>
        <w:rPr>
          <w:caps w:val="false"/>
          <w:smallCaps w:val="false"/>
        </w:rPr>
        <w:t> </w:t>
      </w:r>
    </w:p>
    <w:tbl>
      <w:tblPr>
        <w:tblW w:w="2585" w:type="dxa"/>
        <w:jc w:val="left"/>
        <w:tblInd w:w="0" w:type="dxa"/>
        <w:tblLayout w:type="fixed"/>
        <w:tblCellMar>
          <w:top w:w="0" w:type="dxa"/>
          <w:left w:w="0" w:type="dxa"/>
          <w:bottom w:w="0" w:type="dxa"/>
          <w:right w:w="0" w:type="dxa"/>
        </w:tblCellMar>
      </w:tblPr>
      <w:tblGrid>
        <w:gridCol w:w="2525"/>
        <w:gridCol w:w="60"/>
      </w:tblGrid>
      <w:tr>
        <w:trPr/>
        <w:tc>
          <w:tcPr>
            <w:tcW w:w="2525" w:type="dxa"/>
            <w:tcBorders/>
            <w:vAlign w:val="center"/>
          </w:tcPr>
          <w:p>
            <w:pPr>
              <w:pStyle w:val="TableContents"/>
              <w:bidi w:val="0"/>
              <w:spacing w:before="0" w:after="283"/>
              <w:jc w:val="left"/>
              <w:rPr/>
            </w:pPr>
            <w:r>
              <w:rPr/>
              <w:t xml:space="preserve">Name of Investing Entity: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5135" w:type="dxa"/>
        <w:jc w:val="left"/>
        <w:tblInd w:w="0" w:type="dxa"/>
        <w:tblLayout w:type="fixed"/>
        <w:tblCellMar>
          <w:top w:w="0" w:type="dxa"/>
          <w:left w:w="0" w:type="dxa"/>
          <w:bottom w:w="0" w:type="dxa"/>
          <w:right w:w="0" w:type="dxa"/>
        </w:tblCellMar>
      </w:tblPr>
      <w:tblGrid>
        <w:gridCol w:w="5075"/>
        <w:gridCol w:w="60"/>
      </w:tblGrid>
      <w:tr>
        <w:trPr/>
        <w:tc>
          <w:tcPr>
            <w:tcW w:w="5075" w:type="dxa"/>
            <w:tcBorders/>
            <w:vAlign w:val="center"/>
          </w:tcPr>
          <w:p>
            <w:pPr>
              <w:pStyle w:val="TableContents"/>
              <w:bidi w:val="0"/>
              <w:spacing w:before="0" w:after="283"/>
              <w:jc w:val="left"/>
              <w:rPr/>
            </w:pPr>
            <w:r>
              <w:rPr>
                <w:i/>
              </w:rPr>
              <w:t>Signature of Authorized Signatory of Investing Entity</w:t>
            </w: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3065" w:type="dxa"/>
        <w:jc w:val="left"/>
        <w:tblInd w:w="0" w:type="dxa"/>
        <w:tblLayout w:type="fixed"/>
        <w:tblCellMar>
          <w:top w:w="0" w:type="dxa"/>
          <w:left w:w="0" w:type="dxa"/>
          <w:bottom w:w="0" w:type="dxa"/>
          <w:right w:w="0" w:type="dxa"/>
        </w:tblCellMar>
      </w:tblPr>
      <w:tblGrid>
        <w:gridCol w:w="3005"/>
        <w:gridCol w:w="60"/>
      </w:tblGrid>
      <w:tr>
        <w:trPr/>
        <w:tc>
          <w:tcPr>
            <w:tcW w:w="3005" w:type="dxa"/>
            <w:tcBorders/>
            <w:vAlign w:val="center"/>
          </w:tcPr>
          <w:p>
            <w:pPr>
              <w:pStyle w:val="TableContents"/>
              <w:bidi w:val="0"/>
              <w:spacing w:before="0" w:after="283"/>
              <w:jc w:val="left"/>
              <w:rPr/>
            </w:pPr>
            <w:r>
              <w:rPr/>
              <w:t>Name of Authorized Signatory: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2990" w:type="dxa"/>
        <w:jc w:val="left"/>
        <w:tblInd w:w="0" w:type="dxa"/>
        <w:tblLayout w:type="fixed"/>
        <w:tblCellMar>
          <w:top w:w="0" w:type="dxa"/>
          <w:left w:w="0" w:type="dxa"/>
          <w:bottom w:w="0" w:type="dxa"/>
          <w:right w:w="0" w:type="dxa"/>
        </w:tblCellMar>
      </w:tblPr>
      <w:tblGrid>
        <w:gridCol w:w="2930"/>
        <w:gridCol w:w="60"/>
      </w:tblGrid>
      <w:tr>
        <w:trPr/>
        <w:tc>
          <w:tcPr>
            <w:tcW w:w="2930" w:type="dxa"/>
            <w:tcBorders/>
            <w:vAlign w:val="center"/>
          </w:tcPr>
          <w:p>
            <w:pPr>
              <w:pStyle w:val="TableContents"/>
              <w:bidi w:val="0"/>
              <w:spacing w:before="0" w:after="283"/>
              <w:jc w:val="left"/>
              <w:rPr/>
            </w:pPr>
            <w:r>
              <w:rPr/>
              <w:t xml:space="preserve">Title of Authorized Signatory: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650" w:type="dxa"/>
        <w:jc w:val="left"/>
        <w:tblInd w:w="0" w:type="dxa"/>
        <w:tblLayout w:type="fixed"/>
        <w:tblCellMar>
          <w:top w:w="0" w:type="dxa"/>
          <w:left w:w="0" w:type="dxa"/>
          <w:bottom w:w="0" w:type="dxa"/>
          <w:right w:w="0" w:type="dxa"/>
        </w:tblCellMar>
      </w:tblPr>
      <w:tblGrid>
        <w:gridCol w:w="590"/>
        <w:gridCol w:w="60"/>
      </w:tblGrid>
      <w:tr>
        <w:trPr/>
        <w:tc>
          <w:tcPr>
            <w:tcW w:w="590" w:type="dxa"/>
            <w:tcBorders/>
            <w:vAlign w:val="center"/>
          </w:tcPr>
          <w:p>
            <w:pPr>
              <w:pStyle w:val="TableContents"/>
              <w:bidi w:val="0"/>
              <w:spacing w:before="0" w:after="283"/>
              <w:jc w:val="left"/>
              <w:rPr/>
            </w:pPr>
            <w:r>
              <w:rPr/>
              <w:t xml:space="preserve">Date: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2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subscribe for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VALUE RECEIVED, the foregoing Warrant and all rights evidenced thereby are hereby assigned to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269" w:type="dxa"/>
        <w:jc w:val="left"/>
        <w:tblInd w:w="0" w:type="dxa"/>
        <w:tblLayout w:type="fixed"/>
        <w:tblCellMar>
          <w:top w:w="0" w:type="dxa"/>
          <w:left w:w="0" w:type="dxa"/>
          <w:bottom w:w="0" w:type="dxa"/>
          <w:right w:w="0" w:type="dxa"/>
        </w:tblCellMar>
      </w:tblPr>
      <w:tblGrid>
        <w:gridCol w:w="2762"/>
        <w:gridCol w:w="202"/>
        <w:gridCol w:w="205"/>
        <w:gridCol w:w="1100"/>
      </w:tblGrid>
      <w:tr>
        <w:trPr/>
        <w:tc>
          <w:tcPr>
            <w:tcW w:w="2762" w:type="dxa"/>
            <w:tcBorders/>
            <w:vAlign w:val="center"/>
          </w:tcPr>
          <w:p>
            <w:pPr>
              <w:pStyle w:val="TableContents"/>
              <w:bidi w:val="0"/>
              <w:spacing w:before="0" w:after="283"/>
              <w:jc w:val="left"/>
              <w:rPr/>
            </w:pPr>
            <w:r>
              <w:rPr/>
              <w:t>Name:</w:t>
            </w:r>
          </w:p>
        </w:tc>
        <w:tc>
          <w:tcPr>
            <w:tcW w:w="202"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276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10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w:t>
            </w:r>
          </w:p>
        </w:tc>
      </w:tr>
      <w:tr>
        <w:trPr/>
        <w:tc>
          <w:tcPr>
            <w:tcW w:w="3169" w:type="dxa"/>
            <w:gridSpan w:val="3"/>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16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762"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w:t>
            </w:r>
          </w:p>
        </w:tc>
      </w:tr>
      <w:tr>
        <w:trPr/>
        <w:tc>
          <w:tcPr>
            <w:tcW w:w="3169" w:type="dxa"/>
            <w:gridSpan w:val="3"/>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16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Phone Number:</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69" w:type="dxa"/>
            <w:gridSpan w:val="3"/>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16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Address:</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69" w:type="dxa"/>
            <w:gridSpan w:val="3"/>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16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_______________ __, ______</w:t>
            </w:r>
          </w:p>
        </w:tc>
        <w:tc>
          <w:tcPr>
            <w:tcW w:w="1100" w:type="dxa"/>
            <w:tcBorders/>
            <w:vAlign w:val="center"/>
          </w:tcPr>
          <w:p>
            <w:pPr>
              <w:pStyle w:val="TableContents"/>
              <w:bidi w:val="0"/>
              <w:spacing w:before="0" w:after="283"/>
              <w:jc w:val="left"/>
              <w:rPr/>
            </w:pPr>
            <w:r>
              <w:rPr/>
              <w:t> </w:t>
            </w:r>
          </w:p>
        </w:tc>
      </w:tr>
      <w:tr>
        <w:trPr/>
        <w:tc>
          <w:tcPr>
            <w:tcW w:w="3169" w:type="dxa"/>
            <w:gridSpan w:val="3"/>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27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 Signature:</w:t>
            </w:r>
          </w:p>
        </w:tc>
        <w:tc>
          <w:tcPr>
            <w:tcW w:w="202" w:type="dxa"/>
            <w:tcBorders>
              <w:bottom w:val="single" w:sz="8" w:space="0" w:color="000000"/>
            </w:tcBorders>
            <w:tcMar>
              <w:bottom w:w="28" w:type="dxa"/>
            </w:tcMar>
            <w:vAlign w:val="center"/>
          </w:tcPr>
          <w:p>
            <w:pPr>
              <w:pStyle w:val="TableContents"/>
              <w:bidi w:val="0"/>
              <w:spacing w:before="0" w:after="283"/>
              <w:jc w:val="left"/>
              <w:rPr/>
            </w:pPr>
            <w:r>
              <w:rPr/>
              <w:t> </w:t>
            </w:r>
          </w:p>
        </w:tc>
        <w:tc>
          <w:tcPr>
            <w:tcW w:w="205"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169" w:type="dxa"/>
            <w:gridSpan w:val="3"/>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27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 Address:</w:t>
            </w:r>
          </w:p>
        </w:tc>
        <w:tc>
          <w:tcPr>
            <w:tcW w:w="202" w:type="dxa"/>
            <w:tcBorders>
              <w:bottom w:val="single" w:sz="8" w:space="0" w:color="000000"/>
            </w:tcBorders>
            <w:tcMar>
              <w:bottom w:w="28" w:type="dxa"/>
            </w:tcMar>
            <w:vAlign w:val="center"/>
          </w:tcPr>
          <w:p>
            <w:pPr>
              <w:pStyle w:val="TableContents"/>
              <w:bidi w:val="0"/>
              <w:spacing w:before="0" w:after="283"/>
              <w:jc w:val="left"/>
              <w:rPr/>
            </w:pPr>
            <w:r>
              <w:rPr/>
              <w:t> </w:t>
            </w:r>
          </w:p>
        </w:tc>
        <w:tc>
          <w:tcPr>
            <w:tcW w:w="205"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181100" cy="39624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181100" cy="39624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230" w:type="dxa"/>
        <w:jc w:val="center"/>
        <w:tblInd w:w="0" w:type="dxa"/>
        <w:tblLayout w:type="fixed"/>
        <w:tblCellMar>
          <w:top w:w="28" w:type="dxa"/>
          <w:left w:w="0" w:type="dxa"/>
          <w:bottom w:w="0" w:type="dxa"/>
          <w:right w:w="0" w:type="dxa"/>
        </w:tblCellMar>
      </w:tblPr>
      <w:tblGrid>
        <w:gridCol w:w="6230"/>
      </w:tblGrid>
      <w:tr>
        <w:trPr/>
        <w:tc>
          <w:tcPr>
            <w:tcW w:w="6230" w:type="dxa"/>
            <w:tcBorders>
              <w:top w:val="single" w:sz="8" w:space="0" w:color="000000"/>
            </w:tcBorders>
            <w:vAlign w:val="center"/>
          </w:tcPr>
          <w:p>
            <w:pPr>
              <w:pStyle w:val="TableContents"/>
              <w:bidi w:val="0"/>
              <w:spacing w:before="0" w:after="283"/>
              <w:jc w:val="center"/>
              <w:rPr/>
            </w:pPr>
            <w:r>
              <w:rPr/>
              <w:t> </w:t>
            </w:r>
          </w:p>
        </w:tc>
      </w:tr>
      <w:tr>
        <w:trPr/>
        <w:tc>
          <w:tcPr>
            <w:tcW w:w="6230" w:type="dxa"/>
            <w:tcBorders/>
            <w:tcMar>
              <w:top w:w="0" w:type="dxa"/>
            </w:tcMar>
            <w:vAlign w:val="center"/>
          </w:tcPr>
          <w:p>
            <w:pPr>
              <w:pStyle w:val="TableContents"/>
              <w:bidi w:val="0"/>
              <w:spacing w:before="0" w:after="283"/>
              <w:jc w:val="center"/>
              <w:rPr>
                <w:sz w:val="20"/>
              </w:rPr>
            </w:pPr>
            <w:r>
              <w:rPr>
                <w:sz w:val="20"/>
              </w:rPr>
              <w:t>BILAG 10 / APPENDIX 10</w:t>
            </w:r>
          </w:p>
        </w:tc>
      </w:tr>
      <w:tr>
        <w:trPr/>
        <w:tc>
          <w:tcPr>
            <w:tcW w:w="6230" w:type="dxa"/>
            <w:tcBorders/>
            <w:tcMar>
              <w:top w:w="0" w:type="dxa"/>
            </w:tcMar>
            <w:vAlign w:val="center"/>
          </w:tcPr>
          <w:p>
            <w:pPr>
              <w:pStyle w:val="TableContents"/>
              <w:bidi w:val="0"/>
              <w:spacing w:before="0" w:after="283"/>
              <w:jc w:val="center"/>
              <w:rPr>
                <w:sz w:val="20"/>
              </w:rPr>
            </w:pPr>
            <w:r>
              <w:rPr>
                <w:sz w:val="20"/>
              </w:rPr>
              <w:t>TIL SELSKABETS VEDTÆGTER / TO THE ARTICLES OF ASSOCIATION</w:t>
            </w:r>
          </w:p>
        </w:tc>
      </w:tr>
      <w:tr>
        <w:trPr/>
        <w:tc>
          <w:tcPr>
            <w:tcW w:w="6230" w:type="dxa"/>
            <w:tcBorders>
              <w:bottom w:val="single" w:sz="8" w:space="0" w:color="000000"/>
            </w:tcBorders>
            <w:tcMar>
              <w:top w:w="0" w:type="dxa"/>
              <w:bottom w:w="28"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r>
        <w:rPr/>
        <w:drawing>
          <wp:inline distT="0" distB="0" distL="0" distR="0">
            <wp:extent cx="1181100" cy="39624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181100" cy="39624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English part of this parallel document in Danish and English is an unofficial translation of the original Danish text. In the event of disputes or misunderstandings arising from the interpretation of the translation, the Danish language shall prevail.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4683"/>
        <w:gridCol w:w="60"/>
        <w:gridCol w:w="5315"/>
      </w:tblGrid>
      <w:tr>
        <w:trPr/>
        <w:tc>
          <w:tcPr>
            <w:tcW w:w="147" w:type="dxa"/>
            <w:tcBorders/>
            <w:vAlign w:val="center"/>
          </w:tcPr>
          <w:p>
            <w:pPr>
              <w:pStyle w:val="TableContents"/>
              <w:bidi w:val="0"/>
              <w:spacing w:before="0" w:after="283"/>
              <w:jc w:val="left"/>
              <w:rPr/>
            </w:pPr>
            <w:r>
              <w:rPr/>
              <w:t> </w:t>
            </w:r>
          </w:p>
        </w:tc>
        <w:tc>
          <w:tcPr>
            <w:tcW w:w="468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BILAG 10 TIL SELSKABETS VEDTÆGTER</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b/>
                <w:sz w:val="20"/>
              </w:rPr>
            </w:pPr>
            <w:r>
              <w:rPr>
                <w:b/>
                <w:sz w:val="20"/>
              </w:rPr>
              <w:t>APPENDIX 10 TO ARTICLES OF ASSOCIATION      </w:t>
            </w:r>
          </w:p>
        </w:tc>
      </w:tr>
      <w:tr>
        <w:trPr/>
        <w:tc>
          <w:tcPr>
            <w:tcW w:w="147" w:type="dxa"/>
            <w:tcBorders/>
            <w:vAlign w:val="center"/>
          </w:tcPr>
          <w:p>
            <w:pPr>
              <w:pStyle w:val="TableContents"/>
              <w:bidi w:val="0"/>
              <w:spacing w:before="0" w:after="283"/>
              <w:jc w:val="left"/>
              <w:rPr/>
            </w:pPr>
            <w:r>
              <w:rPr/>
              <w:t> </w:t>
            </w:r>
          </w:p>
        </w:tc>
        <w:tc>
          <w:tcPr>
            <w:tcW w:w="4683" w:type="dxa"/>
            <w:tcBorders/>
            <w:vAlign w:val="center"/>
          </w:tcPr>
          <w:p>
            <w:pPr>
              <w:pStyle w:val="TableContents"/>
              <w:bidi w:val="0"/>
              <w:spacing w:before="0" w:after="283"/>
              <w:jc w:val="left"/>
              <w:rPr/>
            </w:pPr>
            <w:r>
              <w:rPr/>
              <w:t>EVAXION BIOTECH A/S</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sz w:val="20"/>
              </w:rPr>
            </w:pPr>
            <w:r>
              <w:rPr>
                <w:sz w:val="20"/>
              </w:rPr>
              <w:t>EVAXION BIOTECH A/S      </w:t>
            </w:r>
          </w:p>
        </w:tc>
      </w:tr>
      <w:tr>
        <w:trPr/>
        <w:tc>
          <w:tcPr>
            <w:tcW w:w="147" w:type="dxa"/>
            <w:tcBorders/>
            <w:vAlign w:val="center"/>
          </w:tcPr>
          <w:p>
            <w:pPr>
              <w:pStyle w:val="TableContents"/>
              <w:bidi w:val="0"/>
              <w:spacing w:before="0" w:after="283"/>
              <w:jc w:val="left"/>
              <w:rPr/>
            </w:pPr>
            <w:r>
              <w:rPr/>
              <w:t> </w:t>
            </w:r>
          </w:p>
        </w:tc>
        <w:tc>
          <w:tcPr>
            <w:tcW w:w="4683" w:type="dxa"/>
            <w:tcBorders/>
            <w:vAlign w:val="center"/>
          </w:tcPr>
          <w:p>
            <w:pPr>
              <w:pStyle w:val="TableContents"/>
              <w:bidi w:val="0"/>
              <w:spacing w:before="0" w:after="283"/>
              <w:jc w:val="left"/>
              <w:rPr/>
            </w:pPr>
            <w:r>
              <w:rPr>
                <w:rFonts w:ascii="Times New Roman;Times;Serif" w:hAnsi="Times New Roman;Times;Serif"/>
                <w:sz w:val="20"/>
              </w:rPr>
              <w:t>(</w:t>
            </w:r>
            <w:r>
              <w:rPr>
                <w:rFonts w:ascii="Times New Roman;Times;Serif" w:hAnsi="Times New Roman;Times;Serif"/>
                <w:b/>
                <w:sz w:val="20"/>
              </w:rPr>
              <w:t>"Selskabet"</w:t>
            </w:r>
            <w:r>
              <w:rPr>
                <w:rFonts w:ascii="Times New Roman;Times;Serif" w:hAnsi="Times New Roman;Times;Serif"/>
                <w:sz w:val="20"/>
              </w:rPr>
              <w:t>)</w:t>
            </w:r>
            <w:r>
              <w:rPr/>
              <w:t> </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sz w:val="20"/>
              </w:rPr>
            </w:pPr>
            <w:r>
              <w:rPr>
                <w:sz w:val="20"/>
              </w:rPr>
              <w:t>(the "</w:t>
            </w:r>
            <w:r>
              <w:rPr>
                <w:b/>
                <w:sz w:val="20"/>
              </w:rPr>
              <w:t>Company</w:t>
            </w:r>
            <w:r>
              <w:rPr>
                <w:sz w:val="20"/>
              </w:rPr>
              <w:t>")      </w:t>
            </w:r>
          </w:p>
        </w:tc>
      </w:tr>
      <w:tr>
        <w:trPr/>
        <w:tc>
          <w:tcPr>
            <w:tcW w:w="147" w:type="dxa"/>
            <w:tcBorders/>
            <w:vAlign w:val="center"/>
          </w:tcPr>
          <w:p>
            <w:pPr>
              <w:pStyle w:val="TableContents"/>
              <w:bidi w:val="0"/>
              <w:spacing w:before="0" w:after="283"/>
              <w:jc w:val="left"/>
              <w:rPr/>
            </w:pPr>
            <w:r>
              <w:rPr/>
              <w:t> </w:t>
            </w:r>
          </w:p>
        </w:tc>
        <w:tc>
          <w:tcPr>
            <w:tcW w:w="468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INTRODUKTION</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b/>
                <w:sz w:val="20"/>
              </w:rPr>
            </w:pPr>
            <w:r>
              <w:rPr>
                <w:b/>
                <w:sz w:val="20"/>
              </w:rPr>
              <w:t>INTRODUCTION      </w:t>
            </w:r>
          </w:p>
        </w:tc>
      </w:tr>
      <w:tr>
        <w:trPr/>
        <w:tc>
          <w:tcPr>
            <w:tcW w:w="147" w:type="dxa"/>
            <w:tcBorders/>
            <w:vAlign w:val="center"/>
          </w:tcPr>
          <w:p>
            <w:pPr>
              <w:pStyle w:val="TableContents"/>
              <w:bidi w:val="0"/>
              <w:spacing w:before="0" w:after="283"/>
              <w:jc w:val="left"/>
              <w:rPr/>
            </w:pPr>
            <w:r>
              <w:rPr/>
              <w:t> </w:t>
            </w:r>
          </w:p>
        </w:tc>
        <w:tc>
          <w:tcPr>
            <w:tcW w:w="46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henhold til bemyndigelse i vedtægternes punkt 2.11 har bestyrelsen bestemt, at følgende vilkår og betingelser skal være gældende for warrants (</w:t>
            </w:r>
            <w:r>
              <w:rPr>
                <w:rFonts w:ascii="Times New Roman;Times;Serif" w:hAnsi="Times New Roman;Times;Serif"/>
                <w:b/>
                <w:sz w:val="20"/>
              </w:rPr>
              <w:t>"Warrants"</w:t>
            </w:r>
            <w:r>
              <w:rPr>
                <w:rFonts w:ascii="Times New Roman;Times;Serif" w:hAnsi="Times New Roman;Times;Serif"/>
                <w:sz w:val="20"/>
              </w:rPr>
              <w:t>), der udstedes til konsulenter (</w:t>
            </w:r>
            <w:r>
              <w:rPr>
                <w:rFonts w:ascii="Times New Roman;Times;Serif" w:hAnsi="Times New Roman;Times;Serif"/>
                <w:b/>
                <w:sz w:val="20"/>
              </w:rPr>
              <w:t>"Warrantindehaver"</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both"/>
              <w:rPr>
                <w:sz w:val="20"/>
              </w:rPr>
            </w:pPr>
            <w:r>
              <w:rPr>
                <w:sz w:val="20"/>
              </w:rPr>
              <w:t xml:space="preserve">Pursuant to the authorisation in article 2.11 of the articles of association, the board of directors has resolved that the following terms and conditions shall apply to warrants (the </w:t>
            </w:r>
            <w:r>
              <w:rPr>
                <w:b/>
                <w:sz w:val="20"/>
              </w:rPr>
              <w:t>"Warrants"</w:t>
            </w:r>
            <w:r>
              <w:rPr>
                <w:sz w:val="20"/>
              </w:rPr>
              <w:t>) granted to consultants (</w:t>
            </w:r>
            <w:r>
              <w:rPr>
                <w:b/>
                <w:sz w:val="20"/>
              </w:rPr>
              <w:t>"Warrantholder"</w:t>
            </w:r>
            <w:r>
              <w:rPr>
                <w:sz w:val="20"/>
              </w:rPr>
              <w:t>).      </w:t>
            </w:r>
          </w:p>
        </w:tc>
      </w:tr>
      <w:tr>
        <w:trPr/>
        <w:tc>
          <w:tcPr>
            <w:tcW w:w="14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468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GENERELT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b/>
                <w:sz w:val="20"/>
              </w:rPr>
            </w:pPr>
            <w:r>
              <w:rPr>
                <w:b/>
                <w:sz w:val="20"/>
              </w:rPr>
              <w:t>GENERAL</w:t>
            </w:r>
          </w:p>
        </w:tc>
      </w:tr>
      <w:tr>
        <w:trPr/>
        <w:tc>
          <w:tcPr>
            <w:tcW w:w="147" w:type="dxa"/>
            <w:tcBorders/>
            <w:vAlign w:val="center"/>
          </w:tcPr>
          <w:p>
            <w:pPr>
              <w:pStyle w:val="TableContents"/>
              <w:bidi w:val="0"/>
              <w:spacing w:before="0" w:after="283"/>
              <w:jc w:val="left"/>
              <w:rPr/>
            </w:pPr>
            <w:r>
              <w:rPr/>
              <w:t> </w:t>
            </w:r>
          </w:p>
        </w:tc>
        <w:tc>
          <w:tcPr>
            <w:tcW w:w="46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 warrant er en ret, men ikke en pligt, til i en nærmere fastlagt periode (udnyttelsesperiode) at tegne nye aktier i Selskabet til en udnyttelsespris fastsat af bestyrelsen (</w:t>
            </w:r>
            <w:r>
              <w:rPr>
                <w:rFonts w:ascii="Times New Roman;Times;Serif" w:hAnsi="Times New Roman;Times;Serif"/>
                <w:b/>
                <w:sz w:val="20"/>
              </w:rPr>
              <w:t>"Udnyttelsesprisen"</w:t>
            </w:r>
            <w:r>
              <w:rPr>
                <w:rFonts w:ascii="Times New Roman;Times;Serif" w:hAnsi="Times New Roman;Times;Serif"/>
                <w:sz w:val="20"/>
              </w:rPr>
              <w:t>), omregnet til DKK til den officielle vekselkurs mellem DKK/USD som er gældende på udnyttelsesdagen, dog minimum DKK 1 pr. aktie à nominelt kr. 1. Én warrant giver ret til at tegne én ordinær aktie i Selskabet á nominelt DKK 1. </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both"/>
              <w:rPr/>
            </w:pPr>
            <w:r>
              <w:rPr/>
              <w:t>A warrant is a right, but not an obligation, during a fixed period (exercise period) to subscribe for new ordinary shares in the Company at an exercise price determined by the board of directors (the “</w:t>
            </w:r>
            <w:r>
              <w:rPr>
                <w:b/>
              </w:rPr>
              <w:t>Exercise Price”</w:t>
            </w:r>
            <w:r>
              <w:rPr/>
              <w:t>), converted into DKK using the official exchange rate between DKK and USD on the exercise day, however no less than DKK 1 per share of nominal DKK 1. Each warrant carries the right to subscribe for nominal DKK 1 ordinary share in the Company. </w:t>
            </w:r>
          </w:p>
        </w:tc>
      </w:tr>
      <w:tr>
        <w:trPr/>
        <w:tc>
          <w:tcPr>
            <w:tcW w:w="14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2. </w:t>
            </w:r>
          </w:p>
        </w:tc>
        <w:tc>
          <w:tcPr>
            <w:tcW w:w="468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TILDELING AF WARRANTS</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b/>
                <w:sz w:val="20"/>
              </w:rPr>
            </w:pPr>
            <w:r>
              <w:rPr>
                <w:b/>
                <w:sz w:val="20"/>
              </w:rPr>
              <w:t>GRANT OF WARRANTS</w:t>
            </w:r>
          </w:p>
        </w:tc>
      </w:tr>
      <w:tr>
        <w:trPr/>
        <w:tc>
          <w:tcPr>
            <w:tcW w:w="147" w:type="dxa"/>
            <w:tcBorders/>
            <w:vAlign w:val="center"/>
          </w:tcPr>
          <w:p>
            <w:pPr>
              <w:pStyle w:val="TableContents"/>
              <w:bidi w:val="0"/>
              <w:spacing w:before="0" w:after="283"/>
              <w:jc w:val="left"/>
              <w:rPr/>
            </w:pPr>
            <w:r>
              <w:rPr/>
              <w:t> </w:t>
            </w:r>
          </w:p>
        </w:tc>
        <w:tc>
          <w:tcPr>
            <w:tcW w:w="46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tildeles som udgangspunkt i forbindelse med indgåelse af konsulentaftaler.</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both"/>
              <w:rPr>
                <w:sz w:val="20"/>
              </w:rPr>
            </w:pPr>
            <w:r>
              <w:rPr>
                <w:sz w:val="20"/>
              </w:rPr>
              <w:t>Warrants are as a starting point granted in connection with the entering into consultancy agreements.</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181100" cy="39624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181100" cy="39624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5359"/>
        <w:gridCol w:w="60"/>
        <w:gridCol w:w="4636"/>
      </w:tblGrid>
      <w:tr>
        <w:trPr/>
        <w:tc>
          <w:tcPr>
            <w:tcW w:w="1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3. </w:t>
            </w:r>
          </w:p>
        </w:tc>
        <w:tc>
          <w:tcPr>
            <w:tcW w:w="535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OPTJENING</w:t>
            </w:r>
          </w:p>
        </w:tc>
        <w:tc>
          <w:tcPr>
            <w:tcW w:w="60" w:type="dxa"/>
            <w:tcBorders/>
            <w:vAlign w:val="center"/>
          </w:tcPr>
          <w:p>
            <w:pPr>
              <w:pStyle w:val="TableContents"/>
              <w:bidi w:val="0"/>
              <w:spacing w:before="0" w:after="283"/>
              <w:jc w:val="left"/>
              <w:rPr/>
            </w:pPr>
            <w:r>
              <w:rPr/>
              <w:t> </w:t>
            </w:r>
          </w:p>
        </w:tc>
        <w:tc>
          <w:tcPr>
            <w:tcW w:w="463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VESTING</w:t>
            </w:r>
          </w:p>
        </w:tc>
      </w:tr>
      <w:tr>
        <w:trPr/>
        <w:tc>
          <w:tcPr>
            <w:tcW w:w="150" w:type="dxa"/>
            <w:tcBorders/>
            <w:vAlign w:val="center"/>
          </w:tcPr>
          <w:p>
            <w:pPr>
              <w:pStyle w:val="TableContents"/>
              <w:bidi w:val="0"/>
              <w:spacing w:before="0" w:after="283"/>
              <w:jc w:val="left"/>
              <w:rPr/>
            </w:pPr>
            <w:r>
              <w:rPr/>
              <w:t> </w:t>
            </w:r>
          </w:p>
        </w:tc>
        <w:tc>
          <w:tcPr>
            <w:tcW w:w="53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Alle Warrants anses for optjent og kan udnyttes straks på tildelingstidspunktet.</w:t>
            </w:r>
          </w:p>
        </w:tc>
        <w:tc>
          <w:tcPr>
            <w:tcW w:w="60" w:type="dxa"/>
            <w:tcBorders/>
            <w:vAlign w:val="center"/>
          </w:tcPr>
          <w:p>
            <w:pPr>
              <w:pStyle w:val="TableContents"/>
              <w:bidi w:val="0"/>
              <w:spacing w:before="0" w:after="283"/>
              <w:jc w:val="left"/>
              <w:rPr/>
            </w:pPr>
            <w:r>
              <w:rPr/>
              <w:t> </w:t>
            </w:r>
          </w:p>
        </w:tc>
        <w:tc>
          <w:tcPr>
            <w:tcW w:w="46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Warrants shall be deemed vested and immediately exercisable as per the grant date.</w:t>
            </w:r>
          </w:p>
        </w:tc>
      </w:tr>
      <w:tr>
        <w:trPr/>
        <w:tc>
          <w:tcPr>
            <w:tcW w:w="1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4. </w:t>
            </w:r>
          </w:p>
        </w:tc>
        <w:tc>
          <w:tcPr>
            <w:tcW w:w="535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UDNYTTELSE</w:t>
            </w:r>
          </w:p>
        </w:tc>
        <w:tc>
          <w:tcPr>
            <w:tcW w:w="60" w:type="dxa"/>
            <w:tcBorders/>
            <w:vAlign w:val="center"/>
          </w:tcPr>
          <w:p>
            <w:pPr>
              <w:pStyle w:val="TableContents"/>
              <w:bidi w:val="0"/>
              <w:spacing w:before="0" w:after="283"/>
              <w:jc w:val="left"/>
              <w:rPr/>
            </w:pPr>
            <w:r>
              <w:rPr/>
              <w:t> </w:t>
            </w:r>
          </w:p>
        </w:tc>
        <w:tc>
          <w:tcPr>
            <w:tcW w:w="463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EXERCISE</w:t>
            </w:r>
          </w:p>
        </w:tc>
      </w:tr>
      <w:tr>
        <w:trPr/>
        <w:tc>
          <w:tcPr>
            <w:tcW w:w="150" w:type="dxa"/>
            <w:tcBorders/>
            <w:vAlign w:val="center"/>
          </w:tcPr>
          <w:p>
            <w:pPr>
              <w:pStyle w:val="TableContents"/>
              <w:bidi w:val="0"/>
              <w:spacing w:before="0" w:after="283"/>
              <w:jc w:val="left"/>
              <w:rPr/>
            </w:pPr>
            <w:r>
              <w:rPr/>
              <w:t> </w:t>
            </w:r>
          </w:p>
        </w:tc>
        <w:tc>
          <w:tcPr>
            <w:tcW w:w="53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kan udnyttes i en periode på 12 måneder fra tidspunktet for udstedelsen:</w:t>
            </w:r>
          </w:p>
        </w:tc>
        <w:tc>
          <w:tcPr>
            <w:tcW w:w="60" w:type="dxa"/>
            <w:tcBorders/>
            <w:vAlign w:val="center"/>
          </w:tcPr>
          <w:p>
            <w:pPr>
              <w:pStyle w:val="TableContents"/>
              <w:bidi w:val="0"/>
              <w:spacing w:before="0" w:after="283"/>
              <w:jc w:val="left"/>
              <w:rPr/>
            </w:pPr>
            <w:r>
              <w:rPr/>
              <w:t> </w:t>
            </w:r>
          </w:p>
        </w:tc>
        <w:tc>
          <w:tcPr>
            <w:tcW w:w="46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may be exercised in a period of 12 months from the date of issuance:</w:t>
            </w:r>
          </w:p>
        </w:tc>
      </w:tr>
      <w:tr>
        <w:trPr/>
        <w:tc>
          <w:tcPr>
            <w:tcW w:w="150" w:type="dxa"/>
            <w:tcBorders/>
            <w:vAlign w:val="center"/>
          </w:tcPr>
          <w:p>
            <w:pPr>
              <w:pStyle w:val="TableContents"/>
              <w:bidi w:val="0"/>
              <w:spacing w:before="0" w:after="283"/>
              <w:jc w:val="left"/>
              <w:rPr/>
            </w:pPr>
            <w:r>
              <w:rPr/>
              <w:t> </w:t>
            </w:r>
          </w:p>
        </w:tc>
        <w:tc>
          <w:tcPr>
            <w:tcW w:w="5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"Udnyttelsesperioden"</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46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b/>
                <w:sz w:val="20"/>
              </w:rPr>
              <w:t>Warrant Exercise Period”</w:t>
            </w:r>
            <w:r>
              <w:rPr>
                <w:rFonts w:ascii="Times New Roman;Times;Serif" w:hAnsi="Times New Roman;Times;Serif"/>
                <w:sz w:val="20"/>
              </w:rPr>
              <w:t>).</w:t>
            </w:r>
          </w:p>
        </w:tc>
      </w:tr>
      <w:tr>
        <w:trPr/>
        <w:tc>
          <w:tcPr>
            <w:tcW w:w="150" w:type="dxa"/>
            <w:tcBorders/>
            <w:vAlign w:val="center"/>
          </w:tcPr>
          <w:p>
            <w:pPr>
              <w:pStyle w:val="TableContents"/>
              <w:bidi w:val="0"/>
              <w:spacing w:before="0" w:after="283"/>
              <w:jc w:val="left"/>
              <w:rPr/>
            </w:pPr>
            <w:r>
              <w:rPr/>
              <w:t> </w:t>
            </w:r>
          </w:p>
        </w:tc>
        <w:tc>
          <w:tcPr>
            <w:tcW w:w="53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 kan i Udnyttelsesperioden frit udnytte alle eller en del af sine Warrants på alle dage, hvor The Nasdaq Capital Market eller anden US handelsplads, hvor selskabets værdipapirer er noterede, er åben for handel (</w:t>
            </w:r>
            <w:r>
              <w:rPr>
                <w:rFonts w:ascii="Times New Roman;Times;Serif" w:hAnsi="Times New Roman;Times;Serif"/>
                <w:b/>
                <w:sz w:val="20"/>
              </w:rPr>
              <w:t>"Handelsdag"</w:t>
            </w:r>
            <w:r>
              <w:rPr>
                <w:rFonts w:ascii="Times New Roman;Times;Serif" w:hAnsi="Times New Roman;Times;Serif"/>
                <w:sz w:val="20"/>
              </w:rPr>
              <w:t>) med virkning fra den dag, hvor en Warrant Udnyttelsesmeddelelse leveres til Selskabet (</w:t>
            </w:r>
            <w:r>
              <w:rPr>
                <w:rFonts w:ascii="Times New Roman;Times;Serif" w:hAnsi="Times New Roman;Times;Serif"/>
                <w:b/>
                <w:sz w:val="20"/>
              </w:rPr>
              <w:t>"Udnyttelsesdagen"</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46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Warrantholder may exercise all or part of its Warrants on any day The Nasdaq Capital Market or any other U.S. trading market on which the securities of the Company are listed is open for business (“</w:t>
            </w:r>
            <w:r>
              <w:rPr>
                <w:rFonts w:ascii="Times New Roman;Times;Serif" w:hAnsi="Times New Roman;Times;Serif"/>
                <w:b/>
                <w:sz w:val="20"/>
              </w:rPr>
              <w:t>Trading Day”</w:t>
            </w:r>
            <w:r>
              <w:rPr>
                <w:rFonts w:ascii="Times New Roman;Times;Serif" w:hAnsi="Times New Roman;Times;Serif"/>
                <w:sz w:val="20"/>
              </w:rPr>
              <w:t>) of its choice effective at the date of its delivery of a Warrant Exercise Notice (the “</w:t>
            </w:r>
            <w:r>
              <w:rPr>
                <w:rFonts w:ascii="Times New Roman;Times;Serif" w:hAnsi="Times New Roman;Times;Serif"/>
                <w:b/>
                <w:sz w:val="20"/>
              </w:rPr>
              <w:t>Warrant Exercise Date”</w:t>
            </w:r>
            <w:r>
              <w:rPr>
                <w:rFonts w:ascii="Times New Roman;Times;Serif" w:hAnsi="Times New Roman;Times;Serif"/>
                <w:sz w:val="20"/>
              </w:rPr>
              <w:t>) during the Warrant Exercise Period.</w:t>
            </w:r>
          </w:p>
        </w:tc>
      </w:tr>
      <w:tr>
        <w:trPr/>
        <w:tc>
          <w:tcPr>
            <w:tcW w:w="150" w:type="dxa"/>
            <w:tcBorders/>
            <w:vAlign w:val="center"/>
          </w:tcPr>
          <w:p>
            <w:pPr>
              <w:pStyle w:val="TableContents"/>
              <w:bidi w:val="0"/>
              <w:spacing w:before="0" w:after="283"/>
              <w:jc w:val="left"/>
              <w:rPr/>
            </w:pPr>
            <w:r>
              <w:rPr/>
              <w:t> </w:t>
            </w:r>
          </w:p>
        </w:tc>
        <w:tc>
          <w:tcPr>
            <w:tcW w:w="53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På hver valgt Udnyttelsesdag kan Warrantindehaveren udnytte alle eller en del af sine Warrants ved at give meddelelse til Selskabet (</w:t>
            </w:r>
            <w:r>
              <w:rPr>
                <w:rFonts w:ascii="Times New Roman;Times;Serif" w:hAnsi="Times New Roman;Times;Serif"/>
                <w:b/>
                <w:sz w:val="20"/>
              </w:rPr>
              <w:t>"Warrant Udnyttelsesmeddelelsen"</w:t>
            </w:r>
            <w:r>
              <w:rPr>
                <w:rFonts w:ascii="Times New Roman;Times;Serif" w:hAnsi="Times New Roman;Times;Serif"/>
                <w:sz w:val="20"/>
              </w:rPr>
              <w:t>) og kontant betale til Selskabet den modsvarende Udnyttelsespris, herunder ved bankoverførsel.</w:t>
            </w:r>
          </w:p>
        </w:tc>
        <w:tc>
          <w:tcPr>
            <w:tcW w:w="60" w:type="dxa"/>
            <w:tcBorders/>
            <w:vAlign w:val="center"/>
          </w:tcPr>
          <w:p>
            <w:pPr>
              <w:pStyle w:val="TableContents"/>
              <w:bidi w:val="0"/>
              <w:spacing w:before="0" w:after="283"/>
              <w:jc w:val="left"/>
              <w:rPr/>
            </w:pPr>
            <w:r>
              <w:rPr/>
              <w:t> </w:t>
            </w:r>
          </w:p>
        </w:tc>
        <w:tc>
          <w:tcPr>
            <w:tcW w:w="46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each chosen Warrant Exercise Date, the Warrantholder shall exercise all or part of its Warrants by giving notice to the Company (the “</w:t>
            </w:r>
            <w:r>
              <w:rPr>
                <w:rFonts w:ascii="Times New Roman;Times;Serif" w:hAnsi="Times New Roman;Times;Serif"/>
                <w:b/>
                <w:sz w:val="20"/>
              </w:rPr>
              <w:t>Warrant Exercise Notice”</w:t>
            </w:r>
            <w:r>
              <w:rPr>
                <w:rFonts w:ascii="Times New Roman;Times;Serif" w:hAnsi="Times New Roman;Times;Serif"/>
                <w:sz w:val="20"/>
              </w:rPr>
              <w:t>) and pay to the Company the corresponding Exercise Price in cash (including by wire transfer).</w:t>
            </w:r>
          </w:p>
        </w:tc>
      </w:tr>
      <w:tr>
        <w:trPr/>
        <w:tc>
          <w:tcPr>
            <w:tcW w:w="150" w:type="dxa"/>
            <w:tcBorders/>
            <w:vAlign w:val="center"/>
          </w:tcPr>
          <w:p>
            <w:pPr>
              <w:pStyle w:val="TableContents"/>
              <w:bidi w:val="0"/>
              <w:spacing w:before="0" w:after="283"/>
              <w:jc w:val="left"/>
              <w:rPr/>
            </w:pPr>
            <w:r>
              <w:rPr/>
              <w:t> </w:t>
            </w:r>
          </w:p>
        </w:tc>
        <w:tc>
          <w:tcPr>
            <w:tcW w:w="53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den sidste dag i Udnyttelsesperioden er en lørdag eller en søndag, omfatter Udnyttelsesperioden også den herefter førstkommende hverdag.</w:t>
            </w:r>
          </w:p>
        </w:tc>
        <w:tc>
          <w:tcPr>
            <w:tcW w:w="60" w:type="dxa"/>
            <w:tcBorders/>
            <w:vAlign w:val="center"/>
          </w:tcPr>
          <w:p>
            <w:pPr>
              <w:pStyle w:val="TableContents"/>
              <w:bidi w:val="0"/>
              <w:spacing w:before="0" w:after="283"/>
              <w:jc w:val="left"/>
              <w:rPr/>
            </w:pPr>
            <w:r>
              <w:rPr/>
              <w:t> </w:t>
            </w:r>
          </w:p>
        </w:tc>
        <w:tc>
          <w:tcPr>
            <w:tcW w:w="46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last day of the Warrant Exercise Period is a Saturday or Sunday, the Warrant Exercise Period shall also include the first Trading Day immediately following the stipulated period.</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181100" cy="39624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181100" cy="39624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5162"/>
        <w:gridCol w:w="60"/>
        <w:gridCol w:w="4840"/>
      </w:tblGrid>
      <w:tr>
        <w:trPr/>
        <w:tc>
          <w:tcPr>
            <w:tcW w:w="143" w:type="dxa"/>
            <w:tcBorders/>
            <w:vAlign w:val="center"/>
          </w:tcPr>
          <w:p>
            <w:pPr>
              <w:pStyle w:val="TableContents"/>
              <w:bidi w:val="0"/>
              <w:spacing w:before="0" w:after="283"/>
              <w:jc w:val="left"/>
              <w:rPr/>
            </w:pPr>
            <w:r>
              <w:rPr/>
              <w:t> </w:t>
            </w:r>
          </w:p>
        </w:tc>
        <w:tc>
          <w:tcPr>
            <w:tcW w:w="51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Warrants, som Warrantindehaveren ikke udnytter i Udnyttelsesperioden, bortfalder uden yderligere varsel og uden kompensation eller vederlag af nogen art til Warrantindehaveren.</w:t>
            </w:r>
          </w:p>
        </w:tc>
        <w:tc>
          <w:tcPr>
            <w:tcW w:w="60" w:type="dxa"/>
            <w:tcBorders/>
            <w:vAlign w:val="center"/>
          </w:tcPr>
          <w:p>
            <w:pPr>
              <w:pStyle w:val="TableContents"/>
              <w:bidi w:val="0"/>
              <w:spacing w:before="0" w:after="283"/>
              <w:jc w:val="left"/>
              <w:rPr/>
            </w:pPr>
            <w:r>
              <w:rPr/>
              <w:t> </w:t>
            </w:r>
          </w:p>
        </w:tc>
        <w:tc>
          <w:tcPr>
            <w:tcW w:w="4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not exercised by the Warrantholder during the Warrant Exercise Period shall become null and void without further notice and without compensation or payment of any kind to the Warrantholder.</w:t>
            </w:r>
          </w:p>
        </w:tc>
      </w:tr>
      <w:tr>
        <w:trPr/>
        <w:tc>
          <w:tcPr>
            <w:tcW w:w="143" w:type="dxa"/>
            <w:tcBorders/>
            <w:vAlign w:val="center"/>
          </w:tcPr>
          <w:p>
            <w:pPr>
              <w:pStyle w:val="TableContents"/>
              <w:bidi w:val="0"/>
              <w:spacing w:before="0" w:after="283"/>
              <w:jc w:val="left"/>
              <w:rPr/>
            </w:pPr>
            <w:r>
              <w:rPr/>
              <w:t> </w:t>
            </w:r>
          </w:p>
        </w:tc>
        <w:tc>
          <w:tcPr>
            <w:tcW w:w="51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vil så hurtigt som det praktisk er muligt efter at have modtaget en Warrant Udnyttelsesmeddelelse og den modsvarende kontante Udnyttelsespris iværksætte registrering af Warrant udnyttelsen hos Erhvervsstyrelsen.</w:t>
            </w:r>
          </w:p>
        </w:tc>
        <w:tc>
          <w:tcPr>
            <w:tcW w:w="60" w:type="dxa"/>
            <w:tcBorders/>
            <w:vAlign w:val="center"/>
          </w:tcPr>
          <w:p>
            <w:pPr>
              <w:pStyle w:val="TableContents"/>
              <w:bidi w:val="0"/>
              <w:spacing w:before="0" w:after="283"/>
              <w:jc w:val="left"/>
              <w:rPr/>
            </w:pPr>
            <w:r>
              <w:rPr/>
              <w:t> </w:t>
            </w:r>
          </w:p>
        </w:tc>
        <w:tc>
          <w:tcPr>
            <w:tcW w:w="4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will as soon as practically possible after having received a Warrant Exercise Notice and having received the corresponding Exercise Price in cash initiate registration of the Warrant exercise with the Danish Business Authority.</w:t>
            </w:r>
          </w:p>
        </w:tc>
      </w:tr>
      <w:tr>
        <w:trPr/>
        <w:tc>
          <w:tcPr>
            <w:tcW w:w="14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516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JUSTERING AF WARRANTS</w:t>
            </w:r>
          </w:p>
        </w:tc>
        <w:tc>
          <w:tcPr>
            <w:tcW w:w="60" w:type="dxa"/>
            <w:tcBorders/>
            <w:vAlign w:val="center"/>
          </w:tcPr>
          <w:p>
            <w:pPr>
              <w:pStyle w:val="TableContents"/>
              <w:bidi w:val="0"/>
              <w:spacing w:before="0" w:after="283"/>
              <w:jc w:val="left"/>
              <w:rPr/>
            </w:pPr>
            <w:r>
              <w:rPr/>
              <w:t> </w:t>
            </w:r>
          </w:p>
        </w:tc>
        <w:tc>
          <w:tcPr>
            <w:tcW w:w="48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ADJUSTMENT OF WARRANTS</w:t>
            </w:r>
          </w:p>
        </w:tc>
      </w:tr>
      <w:tr>
        <w:trPr/>
        <w:tc>
          <w:tcPr>
            <w:tcW w:w="143" w:type="dxa"/>
            <w:tcBorders/>
            <w:vAlign w:val="center"/>
          </w:tcPr>
          <w:p>
            <w:pPr>
              <w:pStyle w:val="TableContents"/>
              <w:bidi w:val="0"/>
              <w:spacing w:before="0" w:after="283"/>
              <w:jc w:val="left"/>
              <w:rPr/>
            </w:pPr>
            <w:r>
              <w:rPr/>
              <w:t> </w:t>
            </w:r>
          </w:p>
        </w:tc>
        <w:tc>
          <w:tcPr>
            <w:tcW w:w="51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der sker ændringer i Selskabets kapitalforhold (herunder men ikke begrænset til aktiesplit, omvendt aktiesplit, sammenlægning eller anden lignende begivenhed, som giver anledning til sådan ændring), der medfører en ændring af værdien af en warrant, skal Warrants justeres i henhold til nærværende punkt 5.</w:t>
            </w:r>
          </w:p>
        </w:tc>
        <w:tc>
          <w:tcPr>
            <w:tcW w:w="60" w:type="dxa"/>
            <w:tcBorders/>
            <w:vAlign w:val="center"/>
          </w:tcPr>
          <w:p>
            <w:pPr>
              <w:pStyle w:val="TableContents"/>
              <w:bidi w:val="0"/>
              <w:spacing w:before="0" w:after="283"/>
              <w:jc w:val="left"/>
              <w:rPr/>
            </w:pPr>
            <w:r>
              <w:rPr/>
              <w:t> </w:t>
            </w:r>
          </w:p>
        </w:tc>
        <w:tc>
          <w:tcPr>
            <w:tcW w:w="4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Company’s capital structure (including, but not limited to a stock splits, reverse stock split, consolidation or other similar event giving rise to such change) causing a change of the value of a Warrant shall require an adjustment of the Warrants in accordance with this clause 5.</w:t>
            </w:r>
          </w:p>
        </w:tc>
      </w:tr>
      <w:tr>
        <w:trPr/>
        <w:tc>
          <w:tcPr>
            <w:tcW w:w="143" w:type="dxa"/>
            <w:tcBorders/>
            <w:vAlign w:val="center"/>
          </w:tcPr>
          <w:p>
            <w:pPr>
              <w:pStyle w:val="TableContents"/>
              <w:bidi w:val="0"/>
              <w:spacing w:before="0" w:after="283"/>
              <w:jc w:val="left"/>
              <w:rPr/>
            </w:pPr>
            <w:r>
              <w:rPr/>
              <w:t> </w:t>
            </w:r>
          </w:p>
        </w:tc>
        <w:tc>
          <w:tcPr>
            <w:tcW w:w="51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 justering skal ske, således at den potentielle gevinstmulighed, der er knyttet til en Warrant, for så vidt angår de underliggende aktier, så vidt muligt er den samme som før og efter indtræden af den hændelse, der begrunder justeringen. Justeringen gennemføres med bistand fra en ekstern uafhængig rådgiver, som vælges af Selskabets bestyrelse. Justeringen kan ske enten ved en forøgelse eller en formindskelse af det antal aktier, der kan udstedes i henhold til en warrant, og/eller en forøgelse eller formindskelse af udnyttelseskursen.</w:t>
            </w:r>
          </w:p>
        </w:tc>
        <w:tc>
          <w:tcPr>
            <w:tcW w:w="60" w:type="dxa"/>
            <w:tcBorders/>
            <w:vAlign w:val="center"/>
          </w:tcPr>
          <w:p>
            <w:pPr>
              <w:pStyle w:val="TableContents"/>
              <w:bidi w:val="0"/>
              <w:spacing w:before="0" w:after="283"/>
              <w:jc w:val="left"/>
              <w:rPr/>
            </w:pPr>
            <w:r>
              <w:rPr/>
              <w:t> </w:t>
            </w:r>
          </w:p>
        </w:tc>
        <w:tc>
          <w:tcPr>
            <w:tcW w:w="4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Adjustments shall be made so that the change of the value of a Warrant with respect to the underlying ordinary shares of the Company shall remain the same before and after the occurrence of the event causing the adjustment. The adjustment shall be carried out with the assistance of an external independent advisor appointed by the Company's board of directors. The adjustment may be completed either by an increase or decrease of the number of shares that can be issued following an exercise of a warrant and/or an increase or decrease of the Exercise Price.</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181100" cy="39624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181100" cy="39624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5703"/>
        <w:gridCol w:w="60"/>
        <w:gridCol w:w="4152"/>
      </w:tblGrid>
      <w:tr>
        <w:trPr/>
        <w:tc>
          <w:tcPr>
            <w:tcW w:w="290" w:type="dxa"/>
            <w:tcBorders/>
            <w:vAlign w:val="center"/>
          </w:tcPr>
          <w:p>
            <w:pPr>
              <w:pStyle w:val="TableContents"/>
              <w:bidi w:val="0"/>
              <w:spacing w:before="0" w:after="283"/>
              <w:jc w:val="left"/>
              <w:rPr/>
            </w:pPr>
            <w:r>
              <w:rPr/>
              <w:t> </w:t>
            </w:r>
          </w:p>
        </w:tc>
        <w:tc>
          <w:tcPr>
            <w:tcW w:w="5703" w:type="dxa"/>
            <w:tcBorders/>
            <w:vAlign w:val="center"/>
          </w:tcPr>
          <w:p>
            <w:pPr>
              <w:pStyle w:val="TableContents"/>
              <w:bidi w:val="0"/>
              <w:spacing w:before="0" w:after="283"/>
              <w:jc w:val="both"/>
              <w:rPr/>
            </w:pPr>
            <w:r>
              <w:rPr/>
              <w:t>Selskabets udstedelse af medarbejderaktier, aktieoptioner og/eller warrants som led i medarbejderaktieordninger (herunder til bestyrelsesmedlemmer, rådgivere og konsulenter) såvel som senere udnyttelse af sådanne optioner og/eller warrants, medfører ikke krav på justering af warrants. Den kapitalforhøjelse, der finder sted i) som følge af Warrantindehaverne udnyttelse af warrants i Selskabet eller ii) Warrantindehaverens udnyttelse af konvertible obligationer, medfører heller ikke justering af warrants.</w:t>
            </w:r>
          </w:p>
        </w:tc>
        <w:tc>
          <w:tcPr>
            <w:tcW w:w="60" w:type="dxa"/>
            <w:tcBorders/>
            <w:vAlign w:val="center"/>
          </w:tcPr>
          <w:p>
            <w:pPr>
              <w:pStyle w:val="TableContents"/>
              <w:bidi w:val="0"/>
              <w:spacing w:before="0" w:after="283"/>
              <w:jc w:val="left"/>
              <w:rPr/>
            </w:pPr>
            <w:r>
              <w:rPr/>
              <w:t> </w:t>
            </w:r>
          </w:p>
        </w:tc>
        <w:tc>
          <w:tcPr>
            <w:tcW w:w="41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shall not be adjusted solely as a result of the Company’s issue of employee shares, share options and/or warrants as part of employee share option schemes (including options to Directors, advisors and consultants) as well as future exercise of such options and/or warrants. Warrants shall, furthermore, not be adjusted solely as a result of i) capital increases following the Warrantholders’ exercise of Warrants in the Company or ii) the Warrantholder’s conversion of convertible notes issued by the Company.</w:t>
            </w:r>
          </w:p>
        </w:tc>
      </w:tr>
      <w:tr>
        <w:trPr/>
        <w:tc>
          <w:tcPr>
            <w:tcW w:w="290" w:type="dxa"/>
            <w:tcBorders/>
            <w:vAlign w:val="center"/>
          </w:tcPr>
          <w:p>
            <w:pPr>
              <w:pStyle w:val="TableContents"/>
              <w:bidi w:val="0"/>
              <w:spacing w:before="0" w:after="283"/>
              <w:jc w:val="left"/>
              <w:rPr/>
            </w:pPr>
            <w:r>
              <w:rPr/>
              <w:t> </w:t>
            </w:r>
          </w:p>
        </w:tc>
        <w:tc>
          <w:tcPr>
            <w:tcW w:w="57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Enhver regulering af Udnyttelseskursen og/eller det antal aktier som kan tegnes ved udnyttelse af Warrants i henhold til dette pkt. 5 skal alene gælde for Warrants, som endnu ikke er udnyttet på det tidspunkt, der medfører en regulering. Allerede udnyttede Warrants påvirkes ikke af reguleringer.</w:t>
            </w:r>
          </w:p>
        </w:tc>
        <w:tc>
          <w:tcPr>
            <w:tcW w:w="60" w:type="dxa"/>
            <w:tcBorders/>
            <w:vAlign w:val="center"/>
          </w:tcPr>
          <w:p>
            <w:pPr>
              <w:pStyle w:val="TableContents"/>
              <w:bidi w:val="0"/>
              <w:spacing w:before="0" w:after="283"/>
              <w:jc w:val="left"/>
              <w:rPr/>
            </w:pPr>
            <w:r>
              <w:rPr/>
              <w:t> </w:t>
            </w:r>
          </w:p>
        </w:tc>
        <w:tc>
          <w:tcPr>
            <w:tcW w:w="41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adjustments of the Exercise Price and/or the number of shares that can be subscribed for by exercising the Warrants pursuant to this clause 5 shall only apply to Warrants not exercised by the Warrantholder at the time of the event triggering the adjustment. No adjustment shall affect already exercised Warrants.</w:t>
            </w:r>
          </w:p>
        </w:tc>
      </w:tr>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5.3</w:t>
            </w:r>
          </w:p>
        </w:tc>
        <w:tc>
          <w:tcPr>
            <w:tcW w:w="570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Fondsaktier:</w:t>
            </w:r>
          </w:p>
        </w:tc>
        <w:tc>
          <w:tcPr>
            <w:tcW w:w="60" w:type="dxa"/>
            <w:tcBorders/>
            <w:vAlign w:val="center"/>
          </w:tcPr>
          <w:p>
            <w:pPr>
              <w:pStyle w:val="TableContents"/>
              <w:bidi w:val="0"/>
              <w:spacing w:before="0" w:after="283"/>
              <w:jc w:val="left"/>
              <w:rPr/>
            </w:pPr>
            <w:r>
              <w:rPr/>
              <w:t> </w:t>
            </w:r>
          </w:p>
        </w:tc>
        <w:tc>
          <w:tcPr>
            <w:tcW w:w="415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Bonus Shares</w:t>
            </w:r>
          </w:p>
        </w:tc>
      </w:tr>
      <w:tr>
        <w:trPr/>
        <w:tc>
          <w:tcPr>
            <w:tcW w:w="290" w:type="dxa"/>
            <w:tcBorders/>
            <w:vAlign w:val="center"/>
          </w:tcPr>
          <w:p>
            <w:pPr>
              <w:pStyle w:val="TableContents"/>
              <w:bidi w:val="0"/>
              <w:spacing w:before="0" w:after="283"/>
              <w:jc w:val="left"/>
              <w:rPr/>
            </w:pPr>
            <w:r>
              <w:rPr/>
              <w:t> </w:t>
            </w:r>
          </w:p>
        </w:tc>
        <w:tc>
          <w:tcPr>
            <w:tcW w:w="57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det besluttes at udstede fondsaktier i Selskabet, skal Warrants justeres således:</w:t>
            </w:r>
          </w:p>
        </w:tc>
        <w:tc>
          <w:tcPr>
            <w:tcW w:w="60" w:type="dxa"/>
            <w:tcBorders/>
            <w:vAlign w:val="center"/>
          </w:tcPr>
          <w:p>
            <w:pPr>
              <w:pStyle w:val="TableContents"/>
              <w:bidi w:val="0"/>
              <w:spacing w:before="0" w:after="283"/>
              <w:jc w:val="left"/>
              <w:rPr/>
            </w:pPr>
            <w:r>
              <w:rPr/>
              <w:t> </w:t>
            </w:r>
          </w:p>
        </w:tc>
        <w:tc>
          <w:tcPr>
            <w:tcW w:w="41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it is decided to issue bonus shares in the Company, Warrants shall be adjusted as follows:</w:t>
            </w:r>
          </w:p>
        </w:tc>
      </w:tr>
      <w:tr>
        <w:trPr/>
        <w:tc>
          <w:tcPr>
            <w:tcW w:w="290" w:type="dxa"/>
            <w:tcBorders/>
            <w:vAlign w:val="center"/>
          </w:tcPr>
          <w:p>
            <w:pPr>
              <w:pStyle w:val="TableContents"/>
              <w:bidi w:val="0"/>
              <w:spacing w:before="0" w:after="283"/>
              <w:jc w:val="left"/>
              <w:rPr/>
            </w:pPr>
            <w:r>
              <w:rPr/>
              <w:t> </w:t>
            </w:r>
          </w:p>
        </w:tc>
        <w:tc>
          <w:tcPr>
            <w:tcW w:w="57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Udnyttelsesprisen på enhver endnu ikke udnyttet Warrant ganges med faktoren:</w:t>
            </w:r>
          </w:p>
        </w:tc>
        <w:tc>
          <w:tcPr>
            <w:tcW w:w="60" w:type="dxa"/>
            <w:tcBorders/>
            <w:vAlign w:val="center"/>
          </w:tcPr>
          <w:p>
            <w:pPr>
              <w:pStyle w:val="TableContents"/>
              <w:bidi w:val="0"/>
              <w:spacing w:before="0" w:after="283"/>
              <w:jc w:val="left"/>
              <w:rPr/>
            </w:pPr>
            <w:r>
              <w:rPr/>
              <w:t> </w:t>
            </w:r>
          </w:p>
        </w:tc>
        <w:tc>
          <w:tcPr>
            <w:tcW w:w="41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for each Warrant not yet exercised shall be multiplied by the factor:</w:t>
            </w:r>
          </w:p>
        </w:tc>
      </w:tr>
      <w:tr>
        <w:trPr/>
        <w:tc>
          <w:tcPr>
            <w:tcW w:w="290" w:type="dxa"/>
            <w:tcBorders/>
            <w:vAlign w:val="center"/>
          </w:tcPr>
          <w:p>
            <w:pPr>
              <w:pStyle w:val="TableContents"/>
              <w:bidi w:val="0"/>
              <w:spacing w:before="0" w:after="283"/>
              <w:jc w:val="left"/>
              <w:rPr/>
            </w:pPr>
            <w:r>
              <w:rPr/>
              <w:t> </w:t>
            </w:r>
          </w:p>
        </w:tc>
        <w:tc>
          <w:tcPr>
            <w:tcW w:w="5703" w:type="dxa"/>
            <w:tcBorders/>
            <w:vAlign w:val="center"/>
          </w:tcPr>
          <w:p>
            <w:pPr>
              <w:pStyle w:val="TableContents"/>
              <w:bidi w:val="0"/>
              <w:spacing w:before="0" w:after="283"/>
              <w:jc w:val="center"/>
              <w:rPr/>
            </w:pPr>
            <w:r>
              <w:rPr/>
              <w:t>&amp;NegativeThickSpace;</w:t>
            </w:r>
            <w:r>
              <w:rPr/>
              <w:drawing>
                <wp:inline distT="0" distB="0" distL="0" distR="0">
                  <wp:extent cx="666750" cy="3111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666750" cy="3111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4152" w:type="dxa"/>
            <w:tcBorders/>
            <w:vAlign w:val="center"/>
          </w:tcPr>
          <w:p>
            <w:pPr>
              <w:pStyle w:val="TableContents"/>
              <w:bidi w:val="0"/>
              <w:spacing w:before="0" w:after="283"/>
              <w:jc w:val="center"/>
              <w:rPr/>
            </w:pPr>
            <w:r>
              <w:rPr/>
              <w:drawing>
                <wp:inline distT="0" distB="0" distL="0" distR="0">
                  <wp:extent cx="666750" cy="3111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666750" cy="311150"/>
                          </a:xfrm>
                          <a:prstGeom prst="rect">
                            <a:avLst/>
                          </a:prstGeom>
                        </pic:spPr>
                      </pic:pic>
                    </a:graphicData>
                  </a:graphic>
                </wp:inline>
              </w:drawing>
            </w:r>
          </w:p>
        </w:tc>
      </w:tr>
      <w:tr>
        <w:trPr/>
        <w:tc>
          <w:tcPr>
            <w:tcW w:w="290" w:type="dxa"/>
            <w:tcBorders/>
            <w:vAlign w:val="center"/>
          </w:tcPr>
          <w:p>
            <w:pPr>
              <w:pStyle w:val="TableContents"/>
              <w:bidi w:val="0"/>
              <w:spacing w:before="0" w:after="283"/>
              <w:jc w:val="left"/>
              <w:rPr/>
            </w:pPr>
            <w:r>
              <w:rPr/>
              <w:t> </w:t>
            </w:r>
          </w:p>
        </w:tc>
        <w:tc>
          <w:tcPr>
            <w:tcW w:w="57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og antallet af endnu ikke udnyttede Warrants ganges med faktoren:</w:t>
            </w:r>
          </w:p>
        </w:tc>
        <w:tc>
          <w:tcPr>
            <w:tcW w:w="60" w:type="dxa"/>
            <w:tcBorders/>
            <w:vAlign w:val="center"/>
          </w:tcPr>
          <w:p>
            <w:pPr>
              <w:pStyle w:val="TableContents"/>
              <w:bidi w:val="0"/>
              <w:spacing w:before="0" w:after="283"/>
              <w:jc w:val="left"/>
              <w:rPr/>
            </w:pPr>
            <w:r>
              <w:rPr/>
              <w:t> </w:t>
            </w:r>
          </w:p>
        </w:tc>
        <w:tc>
          <w:tcPr>
            <w:tcW w:w="41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and the number of Warrants not yet exercised shall be multiplied by the factor:</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181100" cy="39624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181100" cy="39624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5049"/>
        <w:gridCol w:w="60"/>
        <w:gridCol w:w="4806"/>
      </w:tblGrid>
      <w:tr>
        <w:trPr/>
        <w:tc>
          <w:tcPr>
            <w:tcW w:w="290" w:type="dxa"/>
            <w:tcBorders/>
            <w:vAlign w:val="center"/>
          </w:tcPr>
          <w:p>
            <w:pPr>
              <w:pStyle w:val="TableContents"/>
              <w:bidi w:val="0"/>
              <w:spacing w:before="0" w:after="283"/>
              <w:jc w:val="left"/>
              <w:rPr/>
            </w:pPr>
            <w:r>
              <w:rPr/>
              <w:t> </w:t>
            </w:r>
          </w:p>
        </w:tc>
        <w:tc>
          <w:tcPr>
            <w:tcW w:w="5049" w:type="dxa"/>
            <w:tcBorders/>
            <w:vAlign w:val="center"/>
          </w:tcPr>
          <w:p>
            <w:pPr>
              <w:pStyle w:val="TableContents"/>
              <w:bidi w:val="0"/>
              <w:spacing w:before="0" w:after="283"/>
              <w:jc w:val="center"/>
              <w:rPr/>
            </w:pPr>
            <w:r>
              <w:rPr/>
              <w:drawing>
                <wp:inline distT="0" distB="0" distL="0" distR="0">
                  <wp:extent cx="177800" cy="2730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77800" cy="273050"/>
                          </a:xfrm>
                          <a:prstGeom prst="rect">
                            <a:avLst/>
                          </a:prstGeom>
                        </pic:spPr>
                      </pic:pic>
                    </a:graphicData>
                  </a:graphic>
                </wp:inline>
              </w:drawing>
            </w:r>
            <w:r>
              <w:rPr/>
              <w:t>&amp;NegativeThickSpace;</w:t>
            </w:r>
          </w:p>
        </w:tc>
        <w:tc>
          <w:tcPr>
            <w:tcW w:w="60" w:type="dxa"/>
            <w:tcBorders/>
            <w:vAlign w:val="center"/>
          </w:tcPr>
          <w:p>
            <w:pPr>
              <w:pStyle w:val="TableContents"/>
              <w:bidi w:val="0"/>
              <w:spacing w:before="0" w:after="283"/>
              <w:jc w:val="left"/>
              <w:rPr/>
            </w:pPr>
            <w:r>
              <w:rPr/>
              <w:t> </w:t>
            </w:r>
          </w:p>
        </w:tc>
        <w:tc>
          <w:tcPr>
            <w:tcW w:w="4806" w:type="dxa"/>
            <w:tcBorders/>
            <w:vAlign w:val="center"/>
          </w:tcPr>
          <w:p>
            <w:pPr>
              <w:pStyle w:val="TableContents"/>
              <w:bidi w:val="0"/>
              <w:spacing w:before="0" w:after="283"/>
              <w:jc w:val="center"/>
              <w:rPr/>
            </w:pPr>
            <w:r>
              <w:rPr/>
              <w:drawing>
                <wp:inline distT="0" distB="0" distL="0" distR="0">
                  <wp:extent cx="177800" cy="2730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77800" cy="273050"/>
                          </a:xfrm>
                          <a:prstGeom prst="rect">
                            <a:avLst/>
                          </a:prstGeom>
                        </pic:spPr>
                      </pic:pic>
                    </a:graphicData>
                  </a:graphic>
                </wp:inline>
              </w:drawing>
            </w:r>
            <w:r>
              <w:rPr/>
              <w:t>&amp;NegativeThickSpace;</w:t>
            </w:r>
          </w:p>
        </w:tc>
      </w:tr>
      <w:tr>
        <w:trPr/>
        <w:tc>
          <w:tcPr>
            <w:tcW w:w="290" w:type="dxa"/>
            <w:tcBorders/>
            <w:vAlign w:val="center"/>
          </w:tcPr>
          <w:p>
            <w:pPr>
              <w:pStyle w:val="TableContents"/>
              <w:bidi w:val="0"/>
              <w:spacing w:before="0" w:after="283"/>
              <w:jc w:val="left"/>
              <w:rPr/>
            </w:pPr>
            <w:r>
              <w:rPr/>
              <w:t> </w:t>
            </w:r>
          </w:p>
        </w:tc>
        <w:tc>
          <w:tcPr>
            <w:tcW w:w="50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hvor:</w:t>
            </w:r>
          </w:p>
        </w:tc>
        <w:tc>
          <w:tcPr>
            <w:tcW w:w="60" w:type="dxa"/>
            <w:tcBorders/>
            <w:vAlign w:val="center"/>
          </w:tcPr>
          <w:p>
            <w:pPr>
              <w:pStyle w:val="TableContents"/>
              <w:bidi w:val="0"/>
              <w:spacing w:before="0" w:after="283"/>
              <w:jc w:val="left"/>
              <w:rPr/>
            </w:pPr>
            <w:r>
              <w:rPr/>
              <w:t> </w:t>
            </w:r>
          </w:p>
        </w:tc>
        <w:tc>
          <w:tcPr>
            <w:tcW w:w="48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where:</w:t>
            </w:r>
          </w:p>
        </w:tc>
      </w:tr>
      <w:tr>
        <w:trPr/>
        <w:tc>
          <w:tcPr>
            <w:tcW w:w="290" w:type="dxa"/>
            <w:tcBorders/>
            <w:vAlign w:val="center"/>
          </w:tcPr>
          <w:p>
            <w:pPr>
              <w:pStyle w:val="TableContents"/>
              <w:bidi w:val="0"/>
              <w:spacing w:before="0" w:after="283"/>
              <w:jc w:val="left"/>
              <w:rPr>
                <w:sz w:val="4"/>
                <w:szCs w:val="4"/>
              </w:rPr>
            </w:pPr>
            <w:r>
              <w:rPr>
                <w:sz w:val="4"/>
                <w:szCs w:val="4"/>
              </w:rPr>
            </w:r>
          </w:p>
        </w:tc>
        <w:tc>
          <w:tcPr>
            <w:tcW w:w="504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w:t>
            </w:r>
            <w:r>
              <w:rPr/>
              <w:t>  </w:t>
            </w:r>
            <w:r>
              <w:rPr>
                <w:rFonts w:ascii="Times New Roman;Times;Serif" w:hAnsi="Times New Roman;Times;Serif"/>
                <w:sz w:val="20"/>
              </w:rPr>
              <w:t>=   den nominelle aktiekapital før udstedelsen af fondsaktier, og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w:t>
            </w:r>
            <w:r>
              <w:rPr/>
              <w:t>  </w:t>
            </w:r>
            <w:r>
              <w:rPr>
                <w:rFonts w:ascii="Times New Roman;Times;Serif" w:hAnsi="Times New Roman;Times;Serif"/>
                <w:sz w:val="20"/>
              </w:rPr>
              <w:t>=   the nominal share capital before issue of bonus shares, and</w:t>
            </w:r>
          </w:p>
        </w:tc>
      </w:tr>
      <w:tr>
        <w:trPr/>
        <w:tc>
          <w:tcPr>
            <w:tcW w:w="290" w:type="dxa"/>
            <w:tcBorders/>
            <w:vAlign w:val="center"/>
          </w:tcPr>
          <w:p>
            <w:pPr>
              <w:pStyle w:val="TableContents"/>
              <w:bidi w:val="0"/>
              <w:spacing w:before="0" w:after="283"/>
              <w:jc w:val="left"/>
              <w:rPr>
                <w:sz w:val="4"/>
                <w:szCs w:val="4"/>
              </w:rPr>
            </w:pPr>
            <w:r>
              <w:rPr>
                <w:sz w:val="4"/>
                <w:szCs w:val="4"/>
              </w:rPr>
            </w:r>
          </w:p>
        </w:tc>
        <w:tc>
          <w:tcPr>
            <w:tcW w:w="50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   den samlede nominelle værdi på fondsaktierne.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w:t>
            </w:r>
            <w:r>
              <w:rPr/>
              <w:t>   </w:t>
            </w:r>
            <w:r>
              <w:rPr>
                <w:rFonts w:ascii="Times New Roman;Times;Serif" w:hAnsi="Times New Roman;Times;Serif"/>
                <w:sz w:val="20"/>
              </w:rPr>
              <w:t>=   the total nominal value of bonus shares.</w:t>
            </w:r>
          </w:p>
        </w:tc>
      </w:tr>
      <w:tr>
        <w:trPr/>
        <w:tc>
          <w:tcPr>
            <w:tcW w:w="290" w:type="dxa"/>
            <w:tcBorders/>
            <w:vAlign w:val="center"/>
          </w:tcPr>
          <w:p>
            <w:pPr>
              <w:pStyle w:val="TableContents"/>
              <w:bidi w:val="0"/>
              <w:spacing w:before="0" w:after="283"/>
              <w:jc w:val="left"/>
              <w:rPr/>
            </w:pPr>
            <w:r>
              <w:rPr/>
              <w:t> </w:t>
            </w:r>
          </w:p>
        </w:tc>
        <w:tc>
          <w:tcPr>
            <w:tcW w:w="5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det justerede antal aktier ikke er et helt tal, skal der afrundes nedad til det nærmeste hele tal.</w:t>
            </w:r>
          </w:p>
        </w:tc>
        <w:tc>
          <w:tcPr>
            <w:tcW w:w="60" w:type="dxa"/>
            <w:tcBorders/>
            <w:vAlign w:val="center"/>
          </w:tcPr>
          <w:p>
            <w:pPr>
              <w:pStyle w:val="TableContents"/>
              <w:bidi w:val="0"/>
              <w:spacing w:before="0" w:after="283"/>
              <w:jc w:val="left"/>
              <w:rPr/>
            </w:pPr>
            <w:r>
              <w:rPr/>
              <w:t> </w:t>
            </w:r>
          </w:p>
        </w:tc>
        <w:tc>
          <w:tcPr>
            <w:tcW w:w="48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adjusted number of shares does not amount to a whole number, the number shall be rounded down to the nearest whole number.</w:t>
            </w:r>
          </w:p>
        </w:tc>
      </w:tr>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5.4</w:t>
            </w:r>
          </w:p>
        </w:tc>
        <w:tc>
          <w:tcPr>
            <w:tcW w:w="504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Kapitalændringer til en anden kurs end markedskursen:</w:t>
            </w:r>
          </w:p>
        </w:tc>
        <w:tc>
          <w:tcPr>
            <w:tcW w:w="60" w:type="dxa"/>
            <w:tcBorders/>
            <w:vAlign w:val="center"/>
          </w:tcPr>
          <w:p>
            <w:pPr>
              <w:pStyle w:val="TableContents"/>
              <w:bidi w:val="0"/>
              <w:spacing w:before="0" w:after="283"/>
              <w:jc w:val="left"/>
              <w:rPr/>
            </w:pPr>
            <w:r>
              <w:rPr/>
              <w:t> </w:t>
            </w:r>
          </w:p>
        </w:tc>
        <w:tc>
          <w:tcPr>
            <w:tcW w:w="48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of capital at a price different from the market price:</w:t>
            </w:r>
          </w:p>
        </w:tc>
      </w:tr>
      <w:tr>
        <w:trPr/>
        <w:tc>
          <w:tcPr>
            <w:tcW w:w="290" w:type="dxa"/>
            <w:tcBorders/>
            <w:vAlign w:val="center"/>
          </w:tcPr>
          <w:p>
            <w:pPr>
              <w:pStyle w:val="TableContents"/>
              <w:bidi w:val="0"/>
              <w:spacing w:before="0" w:after="283"/>
              <w:jc w:val="left"/>
              <w:rPr/>
            </w:pPr>
            <w:r>
              <w:rPr/>
              <w:t> </w:t>
            </w:r>
          </w:p>
        </w:tc>
        <w:tc>
          <w:tcPr>
            <w:tcW w:w="5049" w:type="dxa"/>
            <w:tcBorders/>
            <w:vAlign w:val="center"/>
          </w:tcPr>
          <w:p>
            <w:pPr>
              <w:pStyle w:val="TableContents"/>
              <w:bidi w:val="0"/>
              <w:spacing w:before="0" w:after="283"/>
              <w:jc w:val="both"/>
              <w:rPr/>
            </w:pPr>
            <w:r>
              <w:rPr/>
              <w:t>Hvis det besluttes at forhøje eller nedsætte aktiekapitalen i Selskabet til en kurs under markedskursen (vedrørende kapitalnedsættelser også til over markedskursen), eller nye warrants med en udnyttelsespris under markedskursen for Selskabets aktier (undtagen medarbejderincitaments programmer) skal Warrants justeres således:</w:t>
            </w:r>
          </w:p>
        </w:tc>
        <w:tc>
          <w:tcPr>
            <w:tcW w:w="60" w:type="dxa"/>
            <w:tcBorders/>
            <w:vAlign w:val="center"/>
          </w:tcPr>
          <w:p>
            <w:pPr>
              <w:pStyle w:val="TableContents"/>
              <w:bidi w:val="0"/>
              <w:spacing w:before="0" w:after="283"/>
              <w:jc w:val="left"/>
              <w:rPr/>
            </w:pPr>
            <w:r>
              <w:rPr/>
              <w:t> </w:t>
            </w:r>
          </w:p>
        </w:tc>
        <w:tc>
          <w:tcPr>
            <w:tcW w:w="48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it is decided to increase or decrease the share capital in the Company at a price below the market price (in relation to capital decreases also above the market price), or if new warrants with an exercise price below market price of the Company’s shares are issued to third parties (not including warrant incentive programs) Warrants shall be adjusted as follows:</w:t>
            </w:r>
          </w:p>
        </w:tc>
      </w:tr>
      <w:tr>
        <w:trPr/>
        <w:tc>
          <w:tcPr>
            <w:tcW w:w="290" w:type="dxa"/>
            <w:tcBorders/>
            <w:vAlign w:val="center"/>
          </w:tcPr>
          <w:p>
            <w:pPr>
              <w:pStyle w:val="TableContents"/>
              <w:bidi w:val="0"/>
              <w:spacing w:before="0" w:after="283"/>
              <w:jc w:val="left"/>
              <w:rPr/>
            </w:pPr>
            <w:r>
              <w:rPr/>
              <w:t> </w:t>
            </w:r>
          </w:p>
        </w:tc>
        <w:tc>
          <w:tcPr>
            <w:tcW w:w="5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Udnyttelsesprisen på enhver endnu ikke udnyttet warrant ganges med faktoren:</w:t>
            </w:r>
          </w:p>
        </w:tc>
        <w:tc>
          <w:tcPr>
            <w:tcW w:w="60" w:type="dxa"/>
            <w:tcBorders/>
            <w:vAlign w:val="center"/>
          </w:tcPr>
          <w:p>
            <w:pPr>
              <w:pStyle w:val="TableContents"/>
              <w:bidi w:val="0"/>
              <w:spacing w:before="0" w:after="283"/>
              <w:jc w:val="left"/>
              <w:rPr/>
            </w:pPr>
            <w:r>
              <w:rPr/>
              <w:t> </w:t>
            </w:r>
          </w:p>
        </w:tc>
        <w:tc>
          <w:tcPr>
            <w:tcW w:w="48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for each non-exercised Warrant shall be multiplied by the factor:</w:t>
            </w:r>
          </w:p>
        </w:tc>
      </w:tr>
      <w:tr>
        <w:trPr/>
        <w:tc>
          <w:tcPr>
            <w:tcW w:w="290" w:type="dxa"/>
            <w:tcBorders/>
            <w:vAlign w:val="center"/>
          </w:tcPr>
          <w:p>
            <w:pPr>
              <w:pStyle w:val="TableContents"/>
              <w:bidi w:val="0"/>
              <w:spacing w:before="0" w:after="283"/>
              <w:jc w:val="left"/>
              <w:rPr/>
            </w:pPr>
            <w:r>
              <w:rPr/>
              <w:t> </w:t>
            </w:r>
          </w:p>
        </w:tc>
        <w:tc>
          <w:tcPr>
            <w:tcW w:w="5049" w:type="dxa"/>
            <w:tcBorders/>
            <w:vAlign w:val="center"/>
          </w:tcPr>
          <w:p>
            <w:pPr>
              <w:pStyle w:val="TableContents"/>
              <w:bidi w:val="0"/>
              <w:spacing w:before="0" w:after="283"/>
              <w:jc w:val="center"/>
              <w:rPr/>
            </w:pPr>
            <w:r>
              <w:rPr/>
              <w:drawing>
                <wp:inline distT="0" distB="0" distL="0" distR="0">
                  <wp:extent cx="1054100" cy="2730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054100" cy="273050"/>
                          </a:xfrm>
                          <a:prstGeom prst="rect">
                            <a:avLst/>
                          </a:prstGeom>
                        </pic:spPr>
                      </pic:pic>
                    </a:graphicData>
                  </a:graphic>
                </wp:inline>
              </w:drawing>
            </w:r>
            <w:r>
              <w:rPr/>
              <w:t>&amp;NegativeThickSpace;</w:t>
            </w:r>
          </w:p>
        </w:tc>
        <w:tc>
          <w:tcPr>
            <w:tcW w:w="60" w:type="dxa"/>
            <w:tcBorders/>
            <w:vAlign w:val="center"/>
          </w:tcPr>
          <w:p>
            <w:pPr>
              <w:pStyle w:val="TableContents"/>
              <w:bidi w:val="0"/>
              <w:spacing w:before="0" w:after="283"/>
              <w:jc w:val="left"/>
              <w:rPr/>
            </w:pPr>
            <w:r>
              <w:rPr/>
              <w:t> </w:t>
            </w:r>
          </w:p>
        </w:tc>
        <w:tc>
          <w:tcPr>
            <w:tcW w:w="4806" w:type="dxa"/>
            <w:tcBorders/>
            <w:vAlign w:val="center"/>
          </w:tcPr>
          <w:p>
            <w:pPr>
              <w:pStyle w:val="TableContents"/>
              <w:bidi w:val="0"/>
              <w:spacing w:before="0" w:after="283"/>
              <w:jc w:val="center"/>
              <w:rPr/>
            </w:pPr>
            <w:r>
              <w:rPr/>
              <w:drawing>
                <wp:inline distT="0" distB="0" distL="0" distR="0">
                  <wp:extent cx="1054100" cy="2730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054100" cy="273050"/>
                          </a:xfrm>
                          <a:prstGeom prst="rect">
                            <a:avLst/>
                          </a:prstGeom>
                        </pic:spPr>
                      </pic:pic>
                    </a:graphicData>
                  </a:graphic>
                </wp:inline>
              </w:drawing>
            </w:r>
            <w:r>
              <w:rPr/>
              <w:t>&amp;NegativeThickSpace;</w:t>
            </w:r>
          </w:p>
        </w:tc>
      </w:tr>
      <w:tr>
        <w:trPr/>
        <w:tc>
          <w:tcPr>
            <w:tcW w:w="290" w:type="dxa"/>
            <w:tcBorders/>
            <w:vAlign w:val="center"/>
          </w:tcPr>
          <w:p>
            <w:pPr>
              <w:pStyle w:val="TableContents"/>
              <w:bidi w:val="0"/>
              <w:spacing w:before="0" w:after="283"/>
              <w:jc w:val="left"/>
              <w:rPr/>
            </w:pPr>
            <w:r>
              <w:rPr/>
              <w:t> </w:t>
            </w:r>
          </w:p>
        </w:tc>
        <w:tc>
          <w:tcPr>
            <w:tcW w:w="50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og antallet af endnu ikke udnyttede Warrants ganges med faktoren:</w:t>
            </w:r>
          </w:p>
        </w:tc>
        <w:tc>
          <w:tcPr>
            <w:tcW w:w="60" w:type="dxa"/>
            <w:tcBorders/>
            <w:vAlign w:val="center"/>
          </w:tcPr>
          <w:p>
            <w:pPr>
              <w:pStyle w:val="TableContents"/>
              <w:bidi w:val="0"/>
              <w:spacing w:before="0" w:after="283"/>
              <w:jc w:val="left"/>
              <w:rPr/>
            </w:pPr>
            <w:r>
              <w:rPr/>
              <w:t> </w:t>
            </w:r>
          </w:p>
        </w:tc>
        <w:tc>
          <w:tcPr>
            <w:tcW w:w="48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 the number of non-exercised Warrants shall be multiplied by the factor:</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181100" cy="39624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181100" cy="39624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4950"/>
        <w:gridCol w:w="60"/>
        <w:gridCol w:w="4905"/>
      </w:tblGrid>
      <w:tr>
        <w:trPr/>
        <w:tc>
          <w:tcPr>
            <w:tcW w:w="290" w:type="dxa"/>
            <w:tcBorders/>
            <w:vAlign w:val="center"/>
          </w:tcPr>
          <w:p>
            <w:pPr>
              <w:pStyle w:val="TableContents"/>
              <w:bidi w:val="0"/>
              <w:spacing w:before="0" w:after="283"/>
              <w:jc w:val="left"/>
              <w:rPr/>
            </w:pPr>
            <w:r>
              <w:rPr/>
              <w:t> </w:t>
            </w:r>
          </w:p>
        </w:tc>
        <w:tc>
          <w:tcPr>
            <w:tcW w:w="4950" w:type="dxa"/>
            <w:tcBorders/>
            <w:vAlign w:val="center"/>
          </w:tcPr>
          <w:p>
            <w:pPr>
              <w:pStyle w:val="TableContents"/>
              <w:bidi w:val="0"/>
              <w:spacing w:before="0" w:after="283"/>
              <w:jc w:val="center"/>
              <w:rPr/>
            </w:pPr>
            <w:r>
              <w:rPr/>
              <w:drawing>
                <wp:inline distT="0" distB="0" distL="0" distR="0">
                  <wp:extent cx="177800" cy="2730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77800" cy="273050"/>
                          </a:xfrm>
                          <a:prstGeom prst="rect">
                            <a:avLst/>
                          </a:prstGeom>
                        </pic:spPr>
                      </pic:pic>
                    </a:graphicData>
                  </a:graphic>
                </wp:inline>
              </w:drawing>
            </w:r>
            <w:r>
              <w:rPr/>
              <w:t>&amp;NegativeThickSpace;</w:t>
            </w:r>
          </w:p>
        </w:tc>
        <w:tc>
          <w:tcPr>
            <w:tcW w:w="60" w:type="dxa"/>
            <w:tcBorders/>
            <w:vAlign w:val="center"/>
          </w:tcPr>
          <w:p>
            <w:pPr>
              <w:pStyle w:val="TableContents"/>
              <w:bidi w:val="0"/>
              <w:spacing w:before="0" w:after="283"/>
              <w:jc w:val="left"/>
              <w:rPr/>
            </w:pPr>
            <w:r>
              <w:rPr/>
              <w:t> </w:t>
            </w:r>
          </w:p>
        </w:tc>
        <w:tc>
          <w:tcPr>
            <w:tcW w:w="4905" w:type="dxa"/>
            <w:tcBorders/>
            <w:vAlign w:val="center"/>
          </w:tcPr>
          <w:p>
            <w:pPr>
              <w:pStyle w:val="TableContents"/>
              <w:bidi w:val="0"/>
              <w:spacing w:before="0" w:after="283"/>
              <w:jc w:val="center"/>
              <w:rPr/>
            </w:pPr>
            <w:r>
              <w:rPr/>
              <w:drawing>
                <wp:inline distT="0" distB="0" distL="0" distR="0">
                  <wp:extent cx="177800" cy="2730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77800" cy="273050"/>
                          </a:xfrm>
                          <a:prstGeom prst="rect">
                            <a:avLst/>
                          </a:prstGeom>
                        </pic:spPr>
                      </pic:pic>
                    </a:graphicData>
                  </a:graphic>
                </wp:inline>
              </w:drawing>
            </w:r>
          </w:p>
        </w:tc>
      </w:tr>
      <w:tr>
        <w:trPr/>
        <w:tc>
          <w:tcPr>
            <w:tcW w:w="290" w:type="dxa"/>
            <w:tcBorders/>
            <w:vAlign w:val="center"/>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hvor:</w:t>
            </w:r>
          </w:p>
        </w:tc>
        <w:tc>
          <w:tcPr>
            <w:tcW w:w="60" w:type="dxa"/>
            <w:tcBorders/>
            <w:vAlign w:val="center"/>
          </w:tcPr>
          <w:p>
            <w:pPr>
              <w:pStyle w:val="TableContents"/>
              <w:bidi w:val="0"/>
              <w:spacing w:before="0" w:after="283"/>
              <w:jc w:val="left"/>
              <w:rPr/>
            </w:pPr>
            <w:r>
              <w:rPr/>
              <w:t> </w:t>
            </w:r>
          </w:p>
        </w:tc>
        <w:tc>
          <w:tcPr>
            <w:tcW w:w="4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where:</w:t>
            </w:r>
          </w:p>
        </w:tc>
      </w:tr>
      <w:tr>
        <w:trPr/>
        <w:tc>
          <w:tcPr>
            <w:tcW w:w="290" w:type="dxa"/>
            <w:tcBorders/>
            <w:vAlign w:val="center"/>
          </w:tcPr>
          <w:p>
            <w:pPr>
              <w:pStyle w:val="TableContents"/>
              <w:bidi w:val="0"/>
              <w:spacing w:before="0" w:after="283"/>
              <w:jc w:val="left"/>
              <w:rPr/>
            </w:pPr>
            <w:r>
              <w:rPr/>
              <w:t> </w:t>
            </w:r>
          </w:p>
        </w:tc>
        <w:tc>
          <w:tcPr>
            <w:tcW w:w="4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   den nominelle aktiekapital før ændringen i kapitalen</w:t>
            </w:r>
          </w:p>
        </w:tc>
        <w:tc>
          <w:tcPr>
            <w:tcW w:w="60" w:type="dxa"/>
            <w:tcBorders/>
            <w:vAlign w:val="center"/>
          </w:tcPr>
          <w:p>
            <w:pPr>
              <w:pStyle w:val="TableContents"/>
              <w:bidi w:val="0"/>
              <w:spacing w:before="0" w:after="283"/>
              <w:jc w:val="left"/>
              <w:rPr/>
            </w:pPr>
            <w:r>
              <w:rPr/>
              <w:t> </w:t>
            </w:r>
          </w:p>
        </w:tc>
        <w:tc>
          <w:tcPr>
            <w:tcW w:w="4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    nominal share capital before the change in capital</w:t>
            </w:r>
          </w:p>
        </w:tc>
      </w:tr>
      <w:tr>
        <w:trPr/>
        <w:tc>
          <w:tcPr>
            <w:tcW w:w="290" w:type="dxa"/>
            <w:tcBorders/>
            <w:vAlign w:val="center"/>
          </w:tcPr>
          <w:p>
            <w:pPr>
              <w:pStyle w:val="TableContents"/>
              <w:bidi w:val="0"/>
              <w:spacing w:before="0" w:after="283"/>
              <w:jc w:val="left"/>
              <w:rPr/>
            </w:pPr>
            <w:r>
              <w:rPr/>
              <w:t> </w:t>
            </w:r>
          </w:p>
        </w:tc>
        <w:tc>
          <w:tcPr>
            <w:tcW w:w="4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   den nominelle ændring i aktiekapitalen</w:t>
            </w:r>
          </w:p>
        </w:tc>
        <w:tc>
          <w:tcPr>
            <w:tcW w:w="60" w:type="dxa"/>
            <w:tcBorders/>
            <w:vAlign w:val="center"/>
          </w:tcPr>
          <w:p>
            <w:pPr>
              <w:pStyle w:val="TableContents"/>
              <w:bidi w:val="0"/>
              <w:spacing w:before="0" w:after="283"/>
              <w:jc w:val="left"/>
              <w:rPr/>
            </w:pPr>
            <w:r>
              <w:rPr/>
              <w:t> </w:t>
            </w:r>
          </w:p>
        </w:tc>
        <w:tc>
          <w:tcPr>
            <w:tcW w:w="4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   nominal change in the share capital</w:t>
            </w:r>
          </w:p>
        </w:tc>
      </w:tr>
      <w:tr>
        <w:trPr/>
        <w:tc>
          <w:tcPr>
            <w:tcW w:w="290" w:type="dxa"/>
            <w:tcBorders/>
            <w:vAlign w:val="center"/>
          </w:tcPr>
          <w:p>
            <w:pPr>
              <w:pStyle w:val="TableContents"/>
              <w:bidi w:val="0"/>
              <w:spacing w:before="0" w:after="283"/>
              <w:ind w:left="0" w:right="0" w:hanging="540"/>
              <w:jc w:val="left"/>
              <w:rPr/>
            </w:pPr>
            <w:r>
              <w:rPr/>
              <w:t> </w:t>
            </w:r>
          </w:p>
        </w:tc>
        <w:tc>
          <w:tcPr>
            <w:tcW w:w="4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   =  aktiens markedskurs / lukkekurs dagen forinden annoncering af ændringen i aktiekapitalen, og</w:t>
            </w:r>
          </w:p>
        </w:tc>
        <w:tc>
          <w:tcPr>
            <w:tcW w:w="60" w:type="dxa"/>
            <w:tcBorders/>
            <w:vAlign w:val="center"/>
          </w:tcPr>
          <w:p>
            <w:pPr>
              <w:pStyle w:val="TableContents"/>
              <w:bidi w:val="0"/>
              <w:spacing w:before="0" w:after="283"/>
              <w:ind w:left="0" w:right="0" w:hanging="540"/>
              <w:jc w:val="left"/>
              <w:rPr/>
            </w:pPr>
            <w:r>
              <w:rPr/>
              <w:t> </w:t>
            </w:r>
          </w:p>
        </w:tc>
        <w:tc>
          <w:tcPr>
            <w:tcW w:w="4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   =  market price / closing price of the share on the day prior to the announcement of the change in the share capital, and</w:t>
            </w:r>
          </w:p>
        </w:tc>
      </w:tr>
      <w:tr>
        <w:trPr/>
        <w:tc>
          <w:tcPr>
            <w:tcW w:w="290" w:type="dxa"/>
            <w:tcBorders/>
            <w:vAlign w:val="center"/>
          </w:tcPr>
          <w:p>
            <w:pPr>
              <w:pStyle w:val="TableContents"/>
              <w:bidi w:val="0"/>
              <w:spacing w:before="0" w:after="283"/>
              <w:jc w:val="left"/>
              <w:rPr/>
            </w:pPr>
            <w:r>
              <w:rPr/>
              <w:t> </w:t>
            </w:r>
          </w:p>
        </w:tc>
        <w:tc>
          <w:tcPr>
            <w:tcW w:w="4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   =   tegningskurs/nedsættelseskurs ved ændringen i aktiekapitalen</w:t>
            </w:r>
          </w:p>
        </w:tc>
        <w:tc>
          <w:tcPr>
            <w:tcW w:w="60" w:type="dxa"/>
            <w:tcBorders/>
            <w:vAlign w:val="center"/>
          </w:tcPr>
          <w:p>
            <w:pPr>
              <w:pStyle w:val="TableContents"/>
              <w:bidi w:val="0"/>
              <w:spacing w:before="0" w:after="283"/>
              <w:ind w:left="0" w:right="0" w:hanging="540"/>
              <w:jc w:val="left"/>
              <w:rPr/>
            </w:pPr>
            <w:r>
              <w:rPr/>
              <w:t> </w:t>
            </w:r>
          </w:p>
        </w:tc>
        <w:tc>
          <w:tcPr>
            <w:tcW w:w="4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   =   subscription price/reduction price in relation to the change in the share capital</w:t>
            </w:r>
          </w:p>
        </w:tc>
      </w:tr>
      <w:tr>
        <w:trPr/>
        <w:tc>
          <w:tcPr>
            <w:tcW w:w="290" w:type="dxa"/>
            <w:tcBorders/>
            <w:vAlign w:val="center"/>
          </w:tcPr>
          <w:p>
            <w:pPr>
              <w:pStyle w:val="TableContents"/>
              <w:bidi w:val="0"/>
              <w:spacing w:before="0" w:after="283"/>
              <w:jc w:val="left"/>
              <w:rPr/>
            </w:pPr>
            <w:r>
              <w:rPr/>
              <w:t> </w:t>
            </w:r>
          </w:p>
        </w:tc>
        <w:tc>
          <w:tcPr>
            <w:tcW w:w="4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det det justerede antal aktier ikke er et helt tal, skal der afrundes nedad til det nærmeste hele tal. Der skal uanset ovenstående ikke ske regulering af Warrants, såfremt Selskabet gennemfører rettede emissioner på markedsvilkår uanset at der i den forbindelse sker tegning til under den noterede kurs.</w:t>
            </w:r>
          </w:p>
        </w:tc>
        <w:tc>
          <w:tcPr>
            <w:tcW w:w="60" w:type="dxa"/>
            <w:tcBorders/>
            <w:vAlign w:val="center"/>
          </w:tcPr>
          <w:p>
            <w:pPr>
              <w:pStyle w:val="TableContents"/>
              <w:bidi w:val="0"/>
              <w:spacing w:before="0" w:after="283"/>
              <w:jc w:val="left"/>
              <w:rPr/>
            </w:pPr>
            <w:r>
              <w:rPr/>
              <w:t> </w:t>
            </w:r>
          </w:p>
        </w:tc>
        <w:tc>
          <w:tcPr>
            <w:tcW w:w="4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adjusted number of shares does not amount to whole numbers, each number shall be rounded down to the nearest whole number. Irrespective of the above no regulation shall take place to the extent that the Company carries out directed issuances of securities on market terms irrespective of whether shares in connection therewith are subscribed below the listed price.</w:t>
            </w:r>
          </w:p>
        </w:tc>
      </w:tr>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5.5</w:t>
            </w:r>
          </w:p>
        </w:tc>
        <w:tc>
          <w:tcPr>
            <w:tcW w:w="49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Ændringer i den enkelte akties pålydende værdi:</w:t>
            </w:r>
          </w:p>
        </w:tc>
        <w:tc>
          <w:tcPr>
            <w:tcW w:w="60" w:type="dxa"/>
            <w:tcBorders/>
            <w:vAlign w:val="center"/>
          </w:tcPr>
          <w:p>
            <w:pPr>
              <w:pStyle w:val="TableContents"/>
              <w:bidi w:val="0"/>
              <w:spacing w:before="0" w:after="283"/>
              <w:jc w:val="left"/>
              <w:rPr/>
            </w:pPr>
            <w:r>
              <w:rPr/>
              <w:t> </w:t>
            </w:r>
          </w:p>
        </w:tc>
        <w:tc>
          <w:tcPr>
            <w:tcW w:w="49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in the nominal value of each individual share:</w:t>
            </w:r>
          </w:p>
        </w:tc>
      </w:tr>
      <w:tr>
        <w:trPr/>
        <w:tc>
          <w:tcPr>
            <w:tcW w:w="290" w:type="dxa"/>
            <w:tcBorders/>
            <w:vAlign w:val="center"/>
          </w:tcPr>
          <w:p>
            <w:pPr>
              <w:pStyle w:val="TableContents"/>
              <w:bidi w:val="0"/>
              <w:spacing w:before="0" w:after="283"/>
              <w:jc w:val="left"/>
              <w:rPr/>
            </w:pPr>
            <w:r>
              <w:rPr/>
              <w:t> </w:t>
            </w:r>
          </w:p>
        </w:tc>
        <w:tc>
          <w:tcPr>
            <w:tcW w:w="4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det besluttes at ændre aktiernes pålydende værdi, skal Warrants justeres således:</w:t>
            </w:r>
          </w:p>
        </w:tc>
        <w:tc>
          <w:tcPr>
            <w:tcW w:w="60" w:type="dxa"/>
            <w:tcBorders/>
            <w:vAlign w:val="center"/>
          </w:tcPr>
          <w:p>
            <w:pPr>
              <w:pStyle w:val="TableContents"/>
              <w:bidi w:val="0"/>
              <w:spacing w:before="0" w:after="283"/>
              <w:jc w:val="left"/>
              <w:rPr/>
            </w:pPr>
            <w:r>
              <w:rPr/>
              <w:t> </w:t>
            </w:r>
          </w:p>
        </w:tc>
        <w:tc>
          <w:tcPr>
            <w:tcW w:w="4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it is decided to change the nominal value of the shares, Warrants shall be adjusted as follows:</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181100" cy="39624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181100" cy="39624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4731"/>
        <w:gridCol w:w="60"/>
        <w:gridCol w:w="5124"/>
      </w:tblGrid>
      <w:tr>
        <w:trPr/>
        <w:tc>
          <w:tcPr>
            <w:tcW w:w="290" w:type="dxa"/>
            <w:tcBorders/>
            <w:vAlign w:val="center"/>
          </w:tcPr>
          <w:p>
            <w:pPr>
              <w:pStyle w:val="TableContents"/>
              <w:bidi w:val="0"/>
              <w:spacing w:before="0" w:after="283"/>
              <w:jc w:val="left"/>
              <w:rPr/>
            </w:pPr>
            <w:r>
              <w:rPr/>
              <w:t> </w:t>
            </w:r>
          </w:p>
        </w:tc>
        <w:tc>
          <w:tcPr>
            <w:tcW w:w="47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Udnyttelsesprisen på enhver endnu ikke udnyttet Warrant ganges med faktoren:</w:t>
            </w:r>
          </w:p>
        </w:tc>
        <w:tc>
          <w:tcPr>
            <w:tcW w:w="60" w:type="dxa"/>
            <w:tcBorders/>
            <w:vAlign w:val="center"/>
          </w:tcPr>
          <w:p>
            <w:pPr>
              <w:pStyle w:val="TableContents"/>
              <w:bidi w:val="0"/>
              <w:spacing w:before="0" w:after="283"/>
              <w:jc w:val="left"/>
              <w:rPr/>
            </w:pPr>
            <w:r>
              <w:rPr/>
              <w:t> </w:t>
            </w:r>
          </w:p>
        </w:tc>
        <w:tc>
          <w:tcPr>
            <w:tcW w:w="51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for each non-exercised Warrant shall be multiplied by the factor:</w:t>
            </w:r>
          </w:p>
        </w:tc>
      </w:tr>
      <w:tr>
        <w:trPr/>
        <w:tc>
          <w:tcPr>
            <w:tcW w:w="290" w:type="dxa"/>
            <w:tcBorders/>
            <w:vAlign w:val="center"/>
          </w:tcPr>
          <w:p>
            <w:pPr>
              <w:pStyle w:val="TableContents"/>
              <w:bidi w:val="0"/>
              <w:spacing w:before="0" w:after="283"/>
              <w:jc w:val="left"/>
              <w:rPr/>
            </w:pPr>
            <w:r>
              <w:rPr/>
              <w:t> </w:t>
            </w:r>
          </w:p>
        </w:tc>
        <w:tc>
          <w:tcPr>
            <w:tcW w:w="4731" w:type="dxa"/>
            <w:tcBorders/>
            <w:vAlign w:val="center"/>
          </w:tcPr>
          <w:p>
            <w:pPr>
              <w:pStyle w:val="TableContents"/>
              <w:bidi w:val="0"/>
              <w:spacing w:before="0" w:after="283"/>
              <w:jc w:val="center"/>
              <w:rPr/>
            </w:pPr>
            <w:r>
              <w:rPr/>
              <w:drawing>
                <wp:inline distT="0" distB="0" distL="0" distR="0">
                  <wp:extent cx="711200" cy="2921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711200" cy="292100"/>
                          </a:xfrm>
                          <a:prstGeom prst="rect">
                            <a:avLst/>
                          </a:prstGeom>
                        </pic:spPr>
                      </pic:pic>
                    </a:graphicData>
                  </a:graphic>
                </wp:inline>
              </w:drawing>
            </w:r>
            <w:r>
              <w:rPr/>
              <w:t>&amp;NegativeThickSpace;</w:t>
            </w:r>
          </w:p>
        </w:tc>
        <w:tc>
          <w:tcPr>
            <w:tcW w:w="60" w:type="dxa"/>
            <w:tcBorders/>
            <w:vAlign w:val="center"/>
          </w:tcPr>
          <w:p>
            <w:pPr>
              <w:pStyle w:val="TableContents"/>
              <w:bidi w:val="0"/>
              <w:spacing w:before="0" w:after="283"/>
              <w:jc w:val="left"/>
              <w:rPr/>
            </w:pPr>
            <w:r>
              <w:rPr/>
              <w:t> </w:t>
            </w:r>
          </w:p>
        </w:tc>
        <w:tc>
          <w:tcPr>
            <w:tcW w:w="5124" w:type="dxa"/>
            <w:tcBorders/>
            <w:vAlign w:val="center"/>
          </w:tcPr>
          <w:p>
            <w:pPr>
              <w:pStyle w:val="TableContents"/>
              <w:bidi w:val="0"/>
              <w:spacing w:before="0" w:after="283"/>
              <w:jc w:val="center"/>
              <w:rPr/>
            </w:pPr>
            <w:r>
              <w:rPr/>
              <w:drawing>
                <wp:inline distT="0" distB="0" distL="0" distR="0">
                  <wp:extent cx="711200" cy="2921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711200" cy="292100"/>
                          </a:xfrm>
                          <a:prstGeom prst="rect">
                            <a:avLst/>
                          </a:prstGeom>
                        </pic:spPr>
                      </pic:pic>
                    </a:graphicData>
                  </a:graphic>
                </wp:inline>
              </w:drawing>
            </w:r>
            <w:r>
              <w:rPr/>
              <w:t>&amp;NegativeThickSpace;</w:t>
            </w:r>
          </w:p>
        </w:tc>
      </w:tr>
      <w:tr>
        <w:trPr/>
        <w:tc>
          <w:tcPr>
            <w:tcW w:w="290" w:type="dxa"/>
            <w:tcBorders/>
            <w:vAlign w:val="center"/>
          </w:tcPr>
          <w:p>
            <w:pPr>
              <w:pStyle w:val="TableContents"/>
              <w:bidi w:val="0"/>
              <w:spacing w:before="0" w:after="283"/>
              <w:jc w:val="left"/>
              <w:rPr/>
            </w:pPr>
            <w:r>
              <w:rPr/>
              <w:t> </w:t>
            </w:r>
          </w:p>
        </w:tc>
        <w:tc>
          <w:tcPr>
            <w:tcW w:w="47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og antallet af endnu ikke udnyttede warrants ganges med faktoren:</w:t>
            </w:r>
          </w:p>
        </w:tc>
        <w:tc>
          <w:tcPr>
            <w:tcW w:w="60" w:type="dxa"/>
            <w:tcBorders/>
            <w:vAlign w:val="center"/>
          </w:tcPr>
          <w:p>
            <w:pPr>
              <w:pStyle w:val="TableContents"/>
              <w:bidi w:val="0"/>
              <w:spacing w:before="0" w:after="283"/>
              <w:jc w:val="left"/>
              <w:rPr/>
            </w:pPr>
            <w:r>
              <w:rPr/>
              <w:t> </w:t>
            </w:r>
          </w:p>
        </w:tc>
        <w:tc>
          <w:tcPr>
            <w:tcW w:w="51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and the number of non-exercised Warrants shall be multiplied by the factor:</w:t>
            </w:r>
          </w:p>
        </w:tc>
      </w:tr>
      <w:tr>
        <w:trPr/>
        <w:tc>
          <w:tcPr>
            <w:tcW w:w="290" w:type="dxa"/>
            <w:tcBorders/>
            <w:vAlign w:val="center"/>
          </w:tcPr>
          <w:p>
            <w:pPr>
              <w:pStyle w:val="TableContents"/>
              <w:bidi w:val="0"/>
              <w:spacing w:before="0" w:after="283"/>
              <w:jc w:val="left"/>
              <w:rPr/>
            </w:pPr>
            <w:r>
              <w:rPr/>
              <w:t> </w:t>
            </w:r>
          </w:p>
        </w:tc>
        <w:tc>
          <w:tcPr>
            <w:tcW w:w="4731" w:type="dxa"/>
            <w:tcBorders/>
            <w:vAlign w:val="center"/>
          </w:tcPr>
          <w:p>
            <w:pPr>
              <w:pStyle w:val="TableContents"/>
              <w:bidi w:val="0"/>
              <w:spacing w:before="0" w:after="283"/>
              <w:jc w:val="center"/>
              <w:rPr/>
            </w:pPr>
            <w:r>
              <w:rPr/>
              <w:drawing>
                <wp:inline distT="0" distB="0" distL="0" distR="0">
                  <wp:extent cx="177800" cy="2730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77800" cy="273050"/>
                          </a:xfrm>
                          <a:prstGeom prst="rect">
                            <a:avLst/>
                          </a:prstGeom>
                        </pic:spPr>
                      </pic:pic>
                    </a:graphicData>
                  </a:graphic>
                </wp:inline>
              </w:drawing>
            </w:r>
            <w:r>
              <w:rPr/>
              <w:t>&amp;NegativeThickSpace;</w:t>
            </w:r>
          </w:p>
        </w:tc>
        <w:tc>
          <w:tcPr>
            <w:tcW w:w="60" w:type="dxa"/>
            <w:tcBorders/>
            <w:vAlign w:val="center"/>
          </w:tcPr>
          <w:p>
            <w:pPr>
              <w:pStyle w:val="TableContents"/>
              <w:bidi w:val="0"/>
              <w:spacing w:before="0" w:after="283"/>
              <w:jc w:val="left"/>
              <w:rPr/>
            </w:pPr>
            <w:r>
              <w:rPr/>
              <w:t> </w:t>
            </w:r>
          </w:p>
        </w:tc>
        <w:tc>
          <w:tcPr>
            <w:tcW w:w="5124" w:type="dxa"/>
            <w:tcBorders/>
            <w:vAlign w:val="center"/>
          </w:tcPr>
          <w:p>
            <w:pPr>
              <w:pStyle w:val="TableContents"/>
              <w:bidi w:val="0"/>
              <w:spacing w:before="0" w:after="283"/>
              <w:jc w:val="center"/>
              <w:rPr/>
            </w:pPr>
            <w:r>
              <w:rPr/>
              <w:drawing>
                <wp:inline distT="0" distB="0" distL="0" distR="0">
                  <wp:extent cx="177800" cy="27305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77800" cy="273050"/>
                          </a:xfrm>
                          <a:prstGeom prst="rect">
                            <a:avLst/>
                          </a:prstGeom>
                        </pic:spPr>
                      </pic:pic>
                    </a:graphicData>
                  </a:graphic>
                </wp:inline>
              </w:drawing>
            </w:r>
            <w:r>
              <w:rPr/>
              <w:t>&amp;NegativeThickSpace;</w:t>
            </w:r>
          </w:p>
        </w:tc>
      </w:tr>
      <w:tr>
        <w:trPr/>
        <w:tc>
          <w:tcPr>
            <w:tcW w:w="290" w:type="dxa"/>
            <w:tcBorders/>
            <w:vAlign w:val="center"/>
          </w:tcPr>
          <w:p>
            <w:pPr>
              <w:pStyle w:val="TableContents"/>
              <w:bidi w:val="0"/>
              <w:spacing w:before="0" w:after="283"/>
              <w:jc w:val="left"/>
              <w:rPr/>
            </w:pPr>
            <w:r>
              <w:rPr/>
              <w:t> </w:t>
            </w:r>
          </w:p>
        </w:tc>
        <w:tc>
          <w:tcPr>
            <w:tcW w:w="4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hvor:</w:t>
            </w:r>
          </w:p>
        </w:tc>
        <w:tc>
          <w:tcPr>
            <w:tcW w:w="60" w:type="dxa"/>
            <w:tcBorders/>
            <w:vAlign w:val="center"/>
          </w:tcPr>
          <w:p>
            <w:pPr>
              <w:pStyle w:val="TableContents"/>
              <w:bidi w:val="0"/>
              <w:spacing w:before="0" w:after="283"/>
              <w:jc w:val="left"/>
              <w:rPr/>
            </w:pPr>
            <w:r>
              <w:rPr/>
              <w:t> </w:t>
            </w:r>
          </w:p>
        </w:tc>
        <w:tc>
          <w:tcPr>
            <w:tcW w:w="51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where:</w:t>
            </w:r>
          </w:p>
        </w:tc>
      </w:tr>
      <w:tr>
        <w:trPr/>
        <w:tc>
          <w:tcPr>
            <w:tcW w:w="290" w:type="dxa"/>
            <w:tcBorders/>
            <w:vAlign w:val="center"/>
          </w:tcPr>
          <w:p>
            <w:pPr>
              <w:pStyle w:val="TableContents"/>
              <w:bidi w:val="0"/>
              <w:spacing w:before="0" w:after="283"/>
              <w:jc w:val="left"/>
              <w:rPr>
                <w:sz w:val="4"/>
                <w:szCs w:val="4"/>
              </w:rPr>
            </w:pPr>
            <w:r>
              <w:rPr>
                <w:sz w:val="4"/>
                <w:szCs w:val="4"/>
              </w:rPr>
            </w:r>
          </w:p>
        </w:tc>
        <w:tc>
          <w:tcPr>
            <w:tcW w:w="47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den enkelte akties nominelle værdi efter ændringen, og</w:t>
            </w:r>
          </w:p>
        </w:tc>
        <w:tc>
          <w:tcPr>
            <w:tcW w:w="60" w:type="dxa"/>
            <w:tcBorders/>
            <w:vAlign w:val="center"/>
          </w:tcPr>
          <w:p>
            <w:pPr>
              <w:pStyle w:val="TableContents"/>
              <w:bidi w:val="0"/>
              <w:spacing w:before="0" w:after="283"/>
              <w:jc w:val="left"/>
              <w:rPr>
                <w:sz w:val="4"/>
                <w:szCs w:val="4"/>
              </w:rPr>
            </w:pPr>
            <w:r>
              <w:rPr>
                <w:sz w:val="4"/>
                <w:szCs w:val="4"/>
              </w:rPr>
            </w:r>
          </w:p>
        </w:tc>
        <w:tc>
          <w:tcPr>
            <w:tcW w:w="51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nominal value of each share after the change, and</w:t>
            </w:r>
          </w:p>
        </w:tc>
      </w:tr>
      <w:tr>
        <w:trPr/>
        <w:tc>
          <w:tcPr>
            <w:tcW w:w="290" w:type="dxa"/>
            <w:tcBorders/>
            <w:vAlign w:val="center"/>
          </w:tcPr>
          <w:p>
            <w:pPr>
              <w:pStyle w:val="TableContents"/>
              <w:bidi w:val="0"/>
              <w:spacing w:before="0" w:after="283"/>
              <w:jc w:val="left"/>
              <w:rPr>
                <w:sz w:val="4"/>
                <w:szCs w:val="4"/>
              </w:rPr>
            </w:pPr>
            <w:r>
              <w:rPr>
                <w:sz w:val="4"/>
                <w:szCs w:val="4"/>
              </w:rPr>
            </w:r>
          </w:p>
        </w:tc>
        <w:tc>
          <w:tcPr>
            <w:tcW w:w="4731" w:type="dxa"/>
            <w:tcBorders/>
            <w:vAlign w:val="center"/>
          </w:tcPr>
          <w:p>
            <w:pPr>
              <w:pStyle w:val="TableContents"/>
              <w:bidi w:val="0"/>
              <w:spacing w:before="0" w:after="283"/>
              <w:jc w:val="both"/>
              <w:rPr>
                <w:b w:val="false"/>
                <w:i w:val="false"/>
                <w:caps w:val="false"/>
                <w:smallCaps w:val="false"/>
                <w:sz w:val="20"/>
              </w:rPr>
            </w:pPr>
            <w:r>
              <w:rPr>
                <w:b w:val="false"/>
                <w:i w:val="false"/>
                <w:caps w:val="false"/>
                <w:smallCaps w:val="false"/>
                <w:sz w:val="20"/>
              </w:rPr>
              <w:t>B   =   den enkelte akties nominelle værdi før ændringen.</w:t>
            </w:r>
          </w:p>
        </w:tc>
        <w:tc>
          <w:tcPr>
            <w:tcW w:w="60" w:type="dxa"/>
            <w:tcBorders/>
            <w:vAlign w:val="center"/>
          </w:tcPr>
          <w:p>
            <w:pPr>
              <w:pStyle w:val="TableContents"/>
              <w:bidi w:val="0"/>
              <w:spacing w:before="0" w:after="283"/>
              <w:jc w:val="left"/>
              <w:rPr>
                <w:sz w:val="4"/>
                <w:szCs w:val="4"/>
              </w:rPr>
            </w:pPr>
            <w:r>
              <w:rPr>
                <w:sz w:val="4"/>
                <w:szCs w:val="4"/>
              </w:rPr>
            </w:r>
          </w:p>
        </w:tc>
        <w:tc>
          <w:tcPr>
            <w:tcW w:w="51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nominal value of each share before the change.</w:t>
            </w:r>
          </w:p>
        </w:tc>
      </w:tr>
      <w:tr>
        <w:trPr/>
        <w:tc>
          <w:tcPr>
            <w:tcW w:w="290" w:type="dxa"/>
            <w:tcBorders/>
            <w:vAlign w:val="center"/>
          </w:tcPr>
          <w:p>
            <w:pPr>
              <w:pStyle w:val="TableContents"/>
              <w:bidi w:val="0"/>
              <w:spacing w:before="0" w:after="283"/>
              <w:jc w:val="left"/>
              <w:rPr/>
            </w:pPr>
            <w:r>
              <w:rPr/>
              <w:t> </w:t>
            </w:r>
          </w:p>
        </w:tc>
        <w:tc>
          <w:tcPr>
            <w:tcW w:w="4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Hvis det justerede antal aktier ikke er et helt tal, skal der afrundes nedad til det nærmeste hele tal.</w:t>
            </w:r>
          </w:p>
        </w:tc>
        <w:tc>
          <w:tcPr>
            <w:tcW w:w="60" w:type="dxa"/>
            <w:tcBorders/>
            <w:vAlign w:val="center"/>
          </w:tcPr>
          <w:p>
            <w:pPr>
              <w:pStyle w:val="TableContents"/>
              <w:bidi w:val="0"/>
              <w:spacing w:before="0" w:after="283"/>
              <w:jc w:val="left"/>
              <w:rPr/>
            </w:pPr>
            <w:r>
              <w:rPr/>
              <w:t> </w:t>
            </w:r>
          </w:p>
        </w:tc>
        <w:tc>
          <w:tcPr>
            <w:tcW w:w="51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adjusted number of shares does not amount to a whole number, the number shall be rounded down to the nearest whole number.</w:t>
            </w:r>
          </w:p>
        </w:tc>
      </w:tr>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5.6</w:t>
            </w:r>
          </w:p>
        </w:tc>
        <w:tc>
          <w:tcPr>
            <w:tcW w:w="473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Udbetaling af udbytte:</w:t>
            </w:r>
          </w:p>
        </w:tc>
        <w:tc>
          <w:tcPr>
            <w:tcW w:w="60" w:type="dxa"/>
            <w:tcBorders/>
            <w:vAlign w:val="center"/>
          </w:tcPr>
          <w:p>
            <w:pPr>
              <w:pStyle w:val="TableContents"/>
              <w:bidi w:val="0"/>
              <w:spacing w:before="0" w:after="283"/>
              <w:jc w:val="left"/>
              <w:rPr/>
            </w:pPr>
            <w:r>
              <w:rPr/>
              <w:t> </w:t>
            </w:r>
          </w:p>
        </w:tc>
        <w:tc>
          <w:tcPr>
            <w:tcW w:w="512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Payment of dividend:</w:t>
            </w:r>
          </w:p>
        </w:tc>
      </w:tr>
      <w:tr>
        <w:trPr/>
        <w:tc>
          <w:tcPr>
            <w:tcW w:w="290" w:type="dxa"/>
            <w:tcBorders/>
            <w:vAlign w:val="center"/>
          </w:tcPr>
          <w:p>
            <w:pPr>
              <w:pStyle w:val="TableContents"/>
              <w:bidi w:val="0"/>
              <w:spacing w:before="0" w:after="283"/>
              <w:jc w:val="left"/>
              <w:rPr/>
            </w:pPr>
            <w:r>
              <w:rPr/>
              <w:t> </w:t>
            </w:r>
          </w:p>
        </w:tc>
        <w:tc>
          <w:tcPr>
            <w:tcW w:w="47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det besluttes at udbetale udbytte, skal den del af udbyttet, der overstiger 10 % af egenkapitalen, medføre en justering af udnyttelsesprisen efter denne formel:</w:t>
            </w:r>
          </w:p>
        </w:tc>
        <w:tc>
          <w:tcPr>
            <w:tcW w:w="60" w:type="dxa"/>
            <w:tcBorders/>
            <w:vAlign w:val="center"/>
          </w:tcPr>
          <w:p>
            <w:pPr>
              <w:pStyle w:val="TableContents"/>
              <w:bidi w:val="0"/>
              <w:spacing w:before="0" w:after="283"/>
              <w:jc w:val="left"/>
              <w:rPr/>
            </w:pPr>
            <w:r>
              <w:rPr/>
              <w:t> </w:t>
            </w:r>
          </w:p>
        </w:tc>
        <w:tc>
          <w:tcPr>
            <w:tcW w:w="51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it is decided to pay dividends, the part of the dividends exceeding 10 per cent of the equity capital shall lead to adjustment of the Exercise Price according to the following formula:</w:t>
            </w:r>
          </w:p>
        </w:tc>
      </w:tr>
      <w:tr>
        <w:trPr/>
        <w:tc>
          <w:tcPr>
            <w:tcW w:w="290" w:type="dxa"/>
            <w:tcBorders/>
            <w:vAlign w:val="center"/>
          </w:tcPr>
          <w:p>
            <w:pPr>
              <w:pStyle w:val="TableContents"/>
              <w:bidi w:val="0"/>
              <w:spacing w:before="0" w:after="283"/>
              <w:jc w:val="left"/>
              <w:rPr/>
            </w:pPr>
            <w:r>
              <w:rPr/>
              <w:t> </w:t>
            </w:r>
          </w:p>
        </w:tc>
        <w:tc>
          <w:tcPr>
            <w:tcW w:w="4731" w:type="dxa"/>
            <w:tcBorders/>
            <w:vAlign w:val="center"/>
          </w:tcPr>
          <w:p>
            <w:pPr>
              <w:pStyle w:val="TableContents"/>
              <w:bidi w:val="0"/>
              <w:spacing w:before="0" w:after="283"/>
              <w:jc w:val="center"/>
              <w:rPr/>
            </w:pPr>
            <w:r>
              <w:rPr/>
              <w:drawing>
                <wp:inline distT="0" distB="0" distL="0" distR="0">
                  <wp:extent cx="920750" cy="28575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920750" cy="285750"/>
                          </a:xfrm>
                          <a:prstGeom prst="rect">
                            <a:avLst/>
                          </a:prstGeom>
                        </pic:spPr>
                      </pic:pic>
                    </a:graphicData>
                  </a:graphic>
                </wp:inline>
              </w:drawing>
            </w:r>
            <w:r>
              <w:rPr/>
              <w:t>&amp;NegativeThickSpace;&amp;NegativeThickSpace;</w:t>
            </w:r>
          </w:p>
        </w:tc>
        <w:tc>
          <w:tcPr>
            <w:tcW w:w="60" w:type="dxa"/>
            <w:tcBorders/>
            <w:vAlign w:val="center"/>
          </w:tcPr>
          <w:p>
            <w:pPr>
              <w:pStyle w:val="TableContents"/>
              <w:bidi w:val="0"/>
              <w:spacing w:before="0" w:after="283"/>
              <w:jc w:val="left"/>
              <w:rPr/>
            </w:pPr>
            <w:r>
              <w:rPr/>
              <w:t> </w:t>
            </w:r>
          </w:p>
        </w:tc>
        <w:tc>
          <w:tcPr>
            <w:tcW w:w="5124" w:type="dxa"/>
            <w:tcBorders/>
            <w:vAlign w:val="center"/>
          </w:tcPr>
          <w:p>
            <w:pPr>
              <w:pStyle w:val="TableContents"/>
              <w:bidi w:val="0"/>
              <w:spacing w:before="0" w:after="283"/>
              <w:jc w:val="center"/>
              <w:rPr/>
            </w:pPr>
            <w:r>
              <w:rPr/>
              <w:drawing>
                <wp:inline distT="0" distB="0" distL="0" distR="0">
                  <wp:extent cx="920750" cy="28575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920750" cy="285750"/>
                          </a:xfrm>
                          <a:prstGeom prst="rect">
                            <a:avLst/>
                          </a:prstGeom>
                        </pic:spPr>
                      </pic:pic>
                    </a:graphicData>
                  </a:graphic>
                </wp:inline>
              </w:drawing>
            </w:r>
            <w:r>
              <w:rPr/>
              <w:t>&amp;NegativeThickSpace;&amp;NegativeThickSpace;</w:t>
            </w:r>
          </w:p>
        </w:tc>
      </w:tr>
      <w:tr>
        <w:trPr/>
        <w:tc>
          <w:tcPr>
            <w:tcW w:w="290" w:type="dxa"/>
            <w:tcBorders/>
            <w:vAlign w:val="center"/>
          </w:tcPr>
          <w:p>
            <w:pPr>
              <w:pStyle w:val="TableContents"/>
              <w:bidi w:val="0"/>
              <w:spacing w:before="0" w:after="283"/>
              <w:jc w:val="left"/>
              <w:rPr/>
            </w:pPr>
            <w:r>
              <w:rPr/>
              <w:t> </w:t>
            </w:r>
          </w:p>
        </w:tc>
        <w:tc>
          <w:tcPr>
            <w:tcW w:w="4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hvor:</w:t>
            </w:r>
          </w:p>
        </w:tc>
        <w:tc>
          <w:tcPr>
            <w:tcW w:w="60" w:type="dxa"/>
            <w:tcBorders/>
            <w:vAlign w:val="center"/>
          </w:tcPr>
          <w:p>
            <w:pPr>
              <w:pStyle w:val="TableContents"/>
              <w:bidi w:val="0"/>
              <w:spacing w:before="0" w:after="283"/>
              <w:jc w:val="left"/>
              <w:rPr/>
            </w:pPr>
            <w:r>
              <w:rPr/>
              <w:t> </w:t>
            </w:r>
          </w:p>
        </w:tc>
        <w:tc>
          <w:tcPr>
            <w:tcW w:w="51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where:</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181100" cy="39624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1181100" cy="39624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59"/>
        <w:gridCol w:w="3827"/>
        <w:gridCol w:w="60"/>
        <w:gridCol w:w="994"/>
        <w:gridCol w:w="4075"/>
      </w:tblGrid>
      <w:tr>
        <w:trPr/>
        <w:tc>
          <w:tcPr>
            <w:tcW w:w="290"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E2   </w:t>
            </w:r>
          </w:p>
        </w:tc>
        <w:tc>
          <w:tcPr>
            <w:tcW w:w="3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den justerede Udnyttelsespris</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E2   </w:t>
            </w:r>
          </w:p>
        </w:tc>
        <w:tc>
          <w:tcPr>
            <w:tcW w:w="4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the adjusted Exercise Price</w:t>
            </w:r>
          </w:p>
        </w:tc>
      </w:tr>
      <w:tr>
        <w:trPr/>
        <w:tc>
          <w:tcPr>
            <w:tcW w:w="290"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E1   </w:t>
            </w:r>
          </w:p>
        </w:tc>
        <w:tc>
          <w:tcPr>
            <w:tcW w:w="3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den oprindelige Udnyttelsespris</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E1   </w:t>
            </w:r>
          </w:p>
        </w:tc>
        <w:tc>
          <w:tcPr>
            <w:tcW w:w="4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the original Exercise Price</w:t>
            </w:r>
          </w:p>
        </w:tc>
      </w:tr>
      <w:tr>
        <w:trPr/>
        <w:tc>
          <w:tcPr>
            <w:tcW w:w="290"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   </w:t>
            </w:r>
          </w:p>
        </w:tc>
        <w:tc>
          <w:tcPr>
            <w:tcW w:w="3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det udbetalte udbytte</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   </w:t>
            </w:r>
          </w:p>
        </w:tc>
        <w:tc>
          <w:tcPr>
            <w:tcW w:w="4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dividends paid out</w:t>
            </w:r>
          </w:p>
        </w:tc>
      </w:tr>
      <w:tr>
        <w:trPr/>
        <w:tc>
          <w:tcPr>
            <w:tcW w:w="290"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Umax   </w:t>
            </w:r>
          </w:p>
        </w:tc>
        <w:tc>
          <w:tcPr>
            <w:tcW w:w="3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10 % af egenkapitalen, og</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Umax   </w:t>
            </w:r>
          </w:p>
        </w:tc>
        <w:tc>
          <w:tcPr>
            <w:tcW w:w="4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10 per cent of the equity capital, and</w:t>
            </w:r>
          </w:p>
        </w:tc>
      </w:tr>
      <w:tr>
        <w:trPr/>
        <w:tc>
          <w:tcPr>
            <w:tcW w:w="290"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w:t>
            </w:r>
          </w:p>
        </w:tc>
        <w:tc>
          <w:tcPr>
            <w:tcW w:w="3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det samlede antal aktier i Selskabet.</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w:t>
            </w:r>
          </w:p>
        </w:tc>
        <w:tc>
          <w:tcPr>
            <w:tcW w:w="4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total number of shares in the Company.</w:t>
            </w:r>
          </w:p>
        </w:tc>
      </w:tr>
      <w:tr>
        <w:trPr/>
        <w:tc>
          <w:tcPr>
            <w:tcW w:w="290" w:type="dxa"/>
            <w:tcBorders/>
            <w:vAlign w:val="center"/>
          </w:tcPr>
          <w:p>
            <w:pPr>
              <w:pStyle w:val="TableContents"/>
              <w:bidi w:val="0"/>
              <w:spacing w:before="0" w:after="283"/>
              <w:jc w:val="left"/>
              <w:rPr/>
            </w:pPr>
            <w:r>
              <w:rPr/>
              <w:t> </w:t>
            </w:r>
          </w:p>
        </w:tc>
        <w:tc>
          <w:tcPr>
            <w:tcW w:w="4786"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 egenkapital, der skal lægges til grund ved ovenstående justering, er egenkapitalen anført i den årsrapport som godkendes af generalforsamlingen hvor udbytte besluttes, men justeret til markedsværdi. Hvis Selskabet er børsnoteret, fastsættes markedsværdien til aktiernes noterede pris på tidspunktet for beslutningen om at udbetale udbytte. Hvis Selskabet er unoteret, fastsættes markedsværdien fra seneste kapitalrunde i Selskabet hvor en eller flere investorer har tegnet aktier.</w:t>
            </w:r>
          </w:p>
        </w:tc>
        <w:tc>
          <w:tcPr>
            <w:tcW w:w="60" w:type="dxa"/>
            <w:tcBorders/>
            <w:vAlign w:val="center"/>
          </w:tcPr>
          <w:p>
            <w:pPr>
              <w:pStyle w:val="TableContents"/>
              <w:bidi w:val="0"/>
              <w:spacing w:before="0" w:after="283"/>
              <w:jc w:val="left"/>
              <w:rPr/>
            </w:pPr>
            <w:r>
              <w:rPr/>
              <w:t> </w:t>
            </w:r>
          </w:p>
        </w:tc>
        <w:tc>
          <w:tcPr>
            <w:tcW w:w="506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equity capital which shall form the basis of the abovementioned adjustment, is the equity capital stipulated in the Annual Report to be adopted at the General Meeting where dividends shall be approved before allocation but adjusted to market price. If the Company is listed, then the market price shall be the listed price of the shares at the time of the decision to pay dividends. If the Company is unlisted then the market price shall be determined by the latest investment round in the Company, in which one or more investors have subscribed shares.</w:t>
            </w:r>
          </w:p>
        </w:tc>
      </w:tr>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5.7</w:t>
            </w:r>
          </w:p>
        </w:tc>
        <w:tc>
          <w:tcPr>
            <w:tcW w:w="4786"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Andre ændringer i Selskabets kapitalforhold:</w:t>
            </w:r>
          </w:p>
        </w:tc>
        <w:tc>
          <w:tcPr>
            <w:tcW w:w="60" w:type="dxa"/>
            <w:tcBorders/>
            <w:vAlign w:val="center"/>
          </w:tcPr>
          <w:p>
            <w:pPr>
              <w:pStyle w:val="TableContents"/>
              <w:bidi w:val="0"/>
              <w:spacing w:before="0" w:after="283"/>
              <w:jc w:val="left"/>
              <w:rPr/>
            </w:pPr>
            <w:r>
              <w:rPr/>
              <w:t> </w:t>
            </w:r>
          </w:p>
        </w:tc>
        <w:tc>
          <w:tcPr>
            <w:tcW w:w="506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changes in the Company's capital position:</w:t>
            </w:r>
          </w:p>
        </w:tc>
      </w:tr>
      <w:tr>
        <w:trPr/>
        <w:tc>
          <w:tcPr>
            <w:tcW w:w="290" w:type="dxa"/>
            <w:tcBorders/>
            <w:vAlign w:val="center"/>
          </w:tcPr>
          <w:p>
            <w:pPr>
              <w:pStyle w:val="TableContents"/>
              <w:bidi w:val="0"/>
              <w:spacing w:before="0" w:after="283"/>
              <w:jc w:val="left"/>
              <w:rPr/>
            </w:pPr>
            <w:r>
              <w:rPr/>
              <w:t> </w:t>
            </w:r>
          </w:p>
        </w:tc>
        <w:tc>
          <w:tcPr>
            <w:tcW w:w="4786"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der sker andre ændringer i Selskabets kapitalforhold, der medfører en ændring i Warrants værdi, skal (medmindre andet er angivet ovenfor) Warrants justeres, således at ændringen ikke påvirker Warrants økonomiske værdi.</w:t>
            </w:r>
          </w:p>
        </w:tc>
        <w:tc>
          <w:tcPr>
            <w:tcW w:w="60" w:type="dxa"/>
            <w:tcBorders/>
            <w:vAlign w:val="center"/>
          </w:tcPr>
          <w:p>
            <w:pPr>
              <w:pStyle w:val="TableContents"/>
              <w:bidi w:val="0"/>
              <w:spacing w:before="0" w:after="283"/>
              <w:jc w:val="left"/>
              <w:rPr/>
            </w:pPr>
            <w:r>
              <w:rPr/>
              <w:t> </w:t>
            </w:r>
          </w:p>
        </w:tc>
        <w:tc>
          <w:tcPr>
            <w:tcW w:w="5069" w:type="dxa"/>
            <w:gridSpan w:val="2"/>
            <w:tcBorders/>
            <w:vAlign w:val="center"/>
          </w:tcPr>
          <w:p>
            <w:pPr>
              <w:pStyle w:val="TableContents"/>
              <w:bidi w:val="0"/>
              <w:spacing w:before="0" w:after="283"/>
              <w:jc w:val="both"/>
              <w:rPr/>
            </w:pPr>
            <w:r>
              <w:rPr/>
              <w:t>In the event of other changes in the Company's capital position causing changes to the value of Warrants, Warrants shall (unless otherwise indicated above) be adjusted in order to ensure that the changes do not influence the financial value of the Warrants.</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r>
        <w:rPr>
          <w:caps w:val="false"/>
          <w:smallCaps w:val="false"/>
        </w:rPr>
        <w:drawing>
          <wp:inline distT="0" distB="0" distL="0" distR="0">
            <wp:extent cx="1181100" cy="39624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1181100" cy="39624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5"/>
        <w:gridCol w:w="4988"/>
        <w:gridCol w:w="60"/>
        <w:gridCol w:w="95"/>
        <w:gridCol w:w="4677"/>
      </w:tblGrid>
      <w:tr>
        <w:trPr/>
        <w:tc>
          <w:tcPr>
            <w:tcW w:w="290" w:type="dxa"/>
            <w:tcBorders/>
            <w:vAlign w:val="center"/>
          </w:tcPr>
          <w:p>
            <w:pPr>
              <w:pStyle w:val="TableContents"/>
              <w:bidi w:val="0"/>
              <w:spacing w:before="0" w:after="283"/>
              <w:jc w:val="left"/>
              <w:rPr/>
            </w:pPr>
            <w:r>
              <w:rPr/>
              <w:t> </w:t>
            </w:r>
          </w:p>
        </w:tc>
        <w:tc>
          <w:tcPr>
            <w:tcW w:w="508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 beregningsmetode, der skal anvendes ved justeringen, fastsættes af en af bestyrelsen valgt ekstern uafhængig rådgiver.</w:t>
            </w:r>
          </w:p>
        </w:tc>
        <w:tc>
          <w:tcPr>
            <w:tcW w:w="60" w:type="dxa"/>
            <w:tcBorders/>
            <w:vAlign w:val="center"/>
          </w:tcPr>
          <w:p>
            <w:pPr>
              <w:pStyle w:val="TableContents"/>
              <w:bidi w:val="0"/>
              <w:spacing w:before="0" w:after="283"/>
              <w:jc w:val="left"/>
              <w:rPr/>
            </w:pPr>
            <w:r>
              <w:rPr/>
              <w:t> </w:t>
            </w:r>
          </w:p>
        </w:tc>
        <w:tc>
          <w:tcPr>
            <w:tcW w:w="477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calculation method to be applied to the adjustment shall be decided by an external independent advisor appointed by the Board of Directors.</w:t>
            </w:r>
          </w:p>
        </w:tc>
      </w:tr>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5.8</w:t>
            </w:r>
          </w:p>
        </w:tc>
        <w:tc>
          <w:tcPr>
            <w:tcW w:w="5083"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Likvidation:</w:t>
            </w:r>
          </w:p>
        </w:tc>
        <w:tc>
          <w:tcPr>
            <w:tcW w:w="60" w:type="dxa"/>
            <w:tcBorders/>
            <w:vAlign w:val="center"/>
          </w:tcPr>
          <w:p>
            <w:pPr>
              <w:pStyle w:val="TableContents"/>
              <w:bidi w:val="0"/>
              <w:spacing w:before="0" w:after="283"/>
              <w:jc w:val="left"/>
              <w:rPr/>
            </w:pPr>
            <w:r>
              <w:rPr/>
              <w:t> </w:t>
            </w:r>
          </w:p>
        </w:tc>
        <w:tc>
          <w:tcPr>
            <w:tcW w:w="4772"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Liquidation or Winding-up:</w:t>
            </w:r>
          </w:p>
        </w:tc>
      </w:tr>
      <w:tr>
        <w:trPr/>
        <w:tc>
          <w:tcPr>
            <w:tcW w:w="290" w:type="dxa"/>
            <w:tcBorders/>
            <w:vAlign w:val="center"/>
          </w:tcPr>
          <w:p>
            <w:pPr>
              <w:pStyle w:val="TableContents"/>
              <w:bidi w:val="0"/>
              <w:spacing w:before="0" w:after="283"/>
              <w:jc w:val="left"/>
              <w:rPr/>
            </w:pPr>
            <w:r>
              <w:rPr/>
              <w:t> </w:t>
            </w:r>
          </w:p>
        </w:tc>
        <w:tc>
          <w:tcPr>
            <w:tcW w:w="508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Selskabet bliver likvideret, kan Warrantindehaveren udnytte Warrants i en ekstraordinær udnyttelsesperiode umiddelbart før den pågældende transaktion finder sted.</w:t>
            </w:r>
          </w:p>
        </w:tc>
        <w:tc>
          <w:tcPr>
            <w:tcW w:w="60" w:type="dxa"/>
            <w:tcBorders/>
            <w:vAlign w:val="center"/>
          </w:tcPr>
          <w:p>
            <w:pPr>
              <w:pStyle w:val="TableContents"/>
              <w:bidi w:val="0"/>
              <w:spacing w:before="0" w:after="283"/>
              <w:jc w:val="left"/>
              <w:rPr/>
            </w:pPr>
            <w:r>
              <w:rPr/>
              <w:t> </w:t>
            </w:r>
          </w:p>
        </w:tc>
        <w:tc>
          <w:tcPr>
            <w:tcW w:w="477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Should the Company be liquidated the Warrantholder may exercise his/her Warrants in an extraordinary exercise period immediately preceding the relevant transaction.</w:t>
            </w:r>
          </w:p>
        </w:tc>
      </w:tr>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5.9</w:t>
            </w:r>
          </w:p>
        </w:tc>
        <w:tc>
          <w:tcPr>
            <w:tcW w:w="5083"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Fusion og spaltning:</w:t>
            </w:r>
          </w:p>
        </w:tc>
        <w:tc>
          <w:tcPr>
            <w:tcW w:w="60" w:type="dxa"/>
            <w:tcBorders/>
            <w:vAlign w:val="center"/>
          </w:tcPr>
          <w:p>
            <w:pPr>
              <w:pStyle w:val="TableContents"/>
              <w:bidi w:val="0"/>
              <w:spacing w:before="0" w:after="283"/>
              <w:jc w:val="left"/>
              <w:rPr/>
            </w:pPr>
            <w:r>
              <w:rPr/>
              <w:t> </w:t>
            </w:r>
          </w:p>
        </w:tc>
        <w:tc>
          <w:tcPr>
            <w:tcW w:w="4772"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Merger and demerger:</w:t>
            </w:r>
          </w:p>
        </w:tc>
      </w:tr>
      <w:tr>
        <w:trPr/>
        <w:tc>
          <w:tcPr>
            <w:tcW w:w="290" w:type="dxa"/>
            <w:tcBorders/>
            <w:vAlign w:val="center"/>
          </w:tcPr>
          <w:p>
            <w:pPr>
              <w:pStyle w:val="TableContents"/>
              <w:bidi w:val="0"/>
              <w:spacing w:before="0" w:after="283"/>
              <w:jc w:val="left"/>
              <w:rPr/>
            </w:pPr>
            <w:r>
              <w:rPr/>
              <w:t> </w:t>
            </w:r>
          </w:p>
        </w:tc>
        <w:tc>
          <w:tcPr>
            <w:tcW w:w="508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Selskabet indgår i en fusion som det fortsættende selskab, bliver Warrants ikke påvirket, medmindre der i forbindelse med fusionen sker en kapitalforhøjelse til en anden kurs end markedskursen, idet Warrants i så fald justeres i henhold til ovenstående.</w:t>
            </w:r>
          </w:p>
        </w:tc>
        <w:tc>
          <w:tcPr>
            <w:tcW w:w="60" w:type="dxa"/>
            <w:tcBorders/>
            <w:vAlign w:val="center"/>
          </w:tcPr>
          <w:p>
            <w:pPr>
              <w:pStyle w:val="TableContents"/>
              <w:bidi w:val="0"/>
              <w:spacing w:before="0" w:after="283"/>
              <w:jc w:val="left"/>
              <w:rPr/>
            </w:pPr>
            <w:r>
              <w:rPr/>
              <w:t> </w:t>
            </w:r>
          </w:p>
        </w:tc>
        <w:tc>
          <w:tcPr>
            <w:tcW w:w="477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merges as the continuing company, Warrants shall remain unaffected unless, in connection with the merger, the capital is increased at a price other than the market price and in that case Warrants shall be adjusted in accordance with the above.</w:t>
            </w:r>
          </w:p>
        </w:tc>
      </w:tr>
      <w:tr>
        <w:trPr/>
        <w:tc>
          <w:tcPr>
            <w:tcW w:w="290" w:type="dxa"/>
            <w:tcBorders/>
            <w:vAlign w:val="center"/>
          </w:tcPr>
          <w:p>
            <w:pPr>
              <w:pStyle w:val="TableContents"/>
              <w:bidi w:val="0"/>
              <w:spacing w:before="0" w:after="283"/>
              <w:jc w:val="left"/>
              <w:rPr/>
            </w:pPr>
            <w:r>
              <w:rPr/>
              <w:t> </w:t>
            </w:r>
          </w:p>
        </w:tc>
        <w:tc>
          <w:tcPr>
            <w:tcW w:w="508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Selskabet fusionerer som det ophørende selskab eller bliver spaltet, kan det fortsættende selskab vælge én af disse muligheder:</w:t>
            </w:r>
          </w:p>
        </w:tc>
        <w:tc>
          <w:tcPr>
            <w:tcW w:w="60" w:type="dxa"/>
            <w:tcBorders/>
            <w:vAlign w:val="center"/>
          </w:tcPr>
          <w:p>
            <w:pPr>
              <w:pStyle w:val="TableContents"/>
              <w:bidi w:val="0"/>
              <w:spacing w:before="0" w:after="283"/>
              <w:jc w:val="left"/>
              <w:rPr/>
            </w:pPr>
            <w:r>
              <w:rPr/>
              <w:t> </w:t>
            </w:r>
          </w:p>
        </w:tc>
        <w:tc>
          <w:tcPr>
            <w:tcW w:w="477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merges as the terminating company or is demerged, the continuing company may choose one of the following possibilities:</w:t>
            </w:r>
          </w:p>
        </w:tc>
      </w:tr>
      <w:tr>
        <w:trPr/>
        <w:tc>
          <w:tcPr>
            <w:tcW w:w="2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pPr>
            <w:r>
              <w:rPr/>
              <w:t>-</w:t>
            </w:r>
          </w:p>
        </w:tc>
        <w:tc>
          <w:tcPr>
            <w:tcW w:w="4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Warrantindehaveren kan umiddelbart inden fusionen/spaltningen udnytte alle ikke udnyttede Warrants, der ikke er bortfaldet (inklusive Warrants der endnu ikke er optjent), eller (b) Warrants bliver erstattet af nye aktie/aktieinstrumenter i de(t) fortsættende selskab(er) af tilsvarende økonomisk værdi før skat. Ved spaltning kan de fortsættende selskaber selv bestemme, i hvilke(t) selskab(er) Warrantindehaverne skal modtage de nye aktier/aktieinstrumenter.</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pPr>
            <w:r>
              <w:rPr/>
              <w:t>-</w:t>
            </w:r>
          </w:p>
        </w:tc>
        <w:tc>
          <w:tcPr>
            <w:tcW w:w="46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The Warrantholder may exercise all non-exercised Warrants that are not declared null and void (inclusive of Warrants not yet vested) immediately before the merger/demerger, or (b) new share instruments in the continuing company/companies of a corresponding financial pre-tax value shall replace the Warrants. Upon demerger, the continuing companies may decide in which company/companies the Warrantholders shall receive the new shares or share instruments.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r>
        <w:rPr>
          <w:caps w:val="false"/>
          <w:smallCaps w:val="false"/>
        </w:rPr>
        <w:drawing>
          <wp:inline distT="0" distB="0" distL="0" distR="0">
            <wp:extent cx="1181100" cy="39624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1181100" cy="39624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7"/>
        <w:gridCol w:w="101"/>
        <w:gridCol w:w="5192"/>
        <w:gridCol w:w="60"/>
        <w:gridCol w:w="100"/>
        <w:gridCol w:w="4355"/>
      </w:tblGrid>
      <w:tr>
        <w:trPr/>
        <w:tc>
          <w:tcPr>
            <w:tcW w:w="39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5.10 </w:t>
            </w:r>
          </w:p>
        </w:tc>
        <w:tc>
          <w:tcPr>
            <w:tcW w:w="5293"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Salg og aktieombytning:</w:t>
            </w:r>
          </w:p>
        </w:tc>
        <w:tc>
          <w:tcPr>
            <w:tcW w:w="60" w:type="dxa"/>
            <w:tcBorders/>
            <w:vAlign w:val="center"/>
          </w:tcPr>
          <w:p>
            <w:pPr>
              <w:pStyle w:val="TableContents"/>
              <w:bidi w:val="0"/>
              <w:spacing w:before="0" w:after="283"/>
              <w:jc w:val="left"/>
              <w:rPr/>
            </w:pPr>
            <w:r>
              <w:rPr/>
              <w:t> </w:t>
            </w:r>
          </w:p>
        </w:tc>
        <w:tc>
          <w:tcPr>
            <w:tcW w:w="44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Sale and exchange of shares:</w:t>
            </w:r>
          </w:p>
        </w:tc>
      </w:tr>
      <w:tr>
        <w:trPr/>
        <w:tc>
          <w:tcPr>
            <w:tcW w:w="397" w:type="dxa"/>
            <w:tcBorders/>
            <w:vAlign w:val="center"/>
          </w:tcPr>
          <w:p>
            <w:pPr>
              <w:pStyle w:val="TableContents"/>
              <w:bidi w:val="0"/>
              <w:spacing w:before="0" w:after="283"/>
              <w:jc w:val="left"/>
              <w:rPr/>
            </w:pPr>
            <w:r>
              <w:rPr/>
              <w:t> </w:t>
            </w:r>
          </w:p>
        </w:tc>
        <w:tc>
          <w:tcPr>
            <w:tcW w:w="529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mere end 50% af aktiekapitalen i Selskabet bliver solgt (ikke tegnet eller udstedt) eller indgår i en aktieombytning,</w:t>
            </w:r>
          </w:p>
        </w:tc>
        <w:tc>
          <w:tcPr>
            <w:tcW w:w="60" w:type="dxa"/>
            <w:tcBorders/>
            <w:vAlign w:val="center"/>
          </w:tcPr>
          <w:p>
            <w:pPr>
              <w:pStyle w:val="TableContents"/>
              <w:bidi w:val="0"/>
              <w:spacing w:before="0" w:after="283"/>
              <w:jc w:val="left"/>
              <w:rPr/>
            </w:pPr>
            <w:r>
              <w:rPr/>
              <w:t> </w:t>
            </w:r>
          </w:p>
        </w:tc>
        <w:tc>
          <w:tcPr>
            <w:tcW w:w="445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more than 50 per cent of the share capital in the Company is sold (not subscribed or issued) or is part of a share swap,</w:t>
            </w:r>
          </w:p>
        </w:tc>
      </w:tr>
      <w:tr>
        <w:trPr/>
        <w:tc>
          <w:tcPr>
            <w:tcW w:w="397"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pPr>
            <w:r>
              <w:rPr/>
              <w:t>-</w:t>
            </w:r>
          </w:p>
        </w:tc>
        <w:tc>
          <w:tcPr>
            <w:tcW w:w="51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kan Warrantindehaveren umiddelbart inden salget/aktieombytningen udnytte alle ikke-udnyttede Warrants, der ikke er bortfaldet. Såfremt det erhvervende selskab tilbyder aktieinstrumenter i det erhvervende selskab af tilsvarende økonomisk værdi før skat kan Warrantindehaveren vælge i stedet at modtage sådanne aktieinstrumenter.</w:t>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Warrantholder may exercise all non-exercised Warrants that are not declared null and void immediately before the sale/swap of shares. In the event that the acquiring company offers share instruments of a corresponding pre-tax value the Warrantholder may elect instead to replace the issued Warrants with such share instrument.</w:t>
            </w:r>
          </w:p>
        </w:tc>
      </w:tr>
      <w:tr>
        <w:trPr/>
        <w:tc>
          <w:tcPr>
            <w:tcW w:w="39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5.11</w:t>
            </w:r>
          </w:p>
        </w:tc>
        <w:tc>
          <w:tcPr>
            <w:tcW w:w="5293"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Fælles bestemmelser vedrørende 5.8-5.10:</w:t>
            </w:r>
          </w:p>
        </w:tc>
        <w:tc>
          <w:tcPr>
            <w:tcW w:w="60" w:type="dxa"/>
            <w:tcBorders/>
            <w:vAlign w:val="center"/>
          </w:tcPr>
          <w:p>
            <w:pPr>
              <w:pStyle w:val="TableContents"/>
              <w:bidi w:val="0"/>
              <w:spacing w:before="0" w:after="283"/>
              <w:jc w:val="left"/>
              <w:rPr/>
            </w:pPr>
            <w:r>
              <w:rPr/>
              <w:t> </w:t>
            </w:r>
          </w:p>
        </w:tc>
        <w:tc>
          <w:tcPr>
            <w:tcW w:w="44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Common provisions regarding 5.8–5.10:</w:t>
            </w:r>
          </w:p>
        </w:tc>
      </w:tr>
      <w:tr>
        <w:trPr/>
        <w:tc>
          <w:tcPr>
            <w:tcW w:w="397" w:type="dxa"/>
            <w:tcBorders/>
            <w:vAlign w:val="center"/>
          </w:tcPr>
          <w:p>
            <w:pPr>
              <w:pStyle w:val="TableContents"/>
              <w:bidi w:val="0"/>
              <w:spacing w:before="0" w:after="283"/>
              <w:jc w:val="left"/>
              <w:rPr/>
            </w:pPr>
            <w:r>
              <w:rPr/>
              <w:t> </w:t>
            </w:r>
          </w:p>
        </w:tc>
        <w:tc>
          <w:tcPr>
            <w:tcW w:w="5293"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er forpligtet til at give Warrantindehaveren skriftlig meddelelse, hvis en af de ovenfor nævnte transaktioner finder sted. Når Warrantindehaveren har modtaget den skriftlige meddelelse, har Warrantindehaveren – i de tilfælde, hvor Warrantindehaveren ekstraordinært kan udnytte Warrants, jf. 5.8-5.10 – 2 uger til skriftligt at informere Selskabet om, hvorvidt Warrantindehaveren vil gøre brug af tilbuddet. Hvis Warrantindehaveren ikke har givet Selskabet skriftligt svar inden 2-uger eller undlader at betale inden for den betalingsfrist, der er fastsat, bortfalder Warrants uden yderligere varsel og uden kompensation. Udnyttelsesprisen kan ikke komme under aktiernes nominelle værdi.</w:t>
            </w:r>
          </w:p>
        </w:tc>
        <w:tc>
          <w:tcPr>
            <w:tcW w:w="60" w:type="dxa"/>
            <w:tcBorders/>
            <w:vAlign w:val="center"/>
          </w:tcPr>
          <w:p>
            <w:pPr>
              <w:pStyle w:val="TableContents"/>
              <w:bidi w:val="0"/>
              <w:spacing w:before="0" w:after="283"/>
              <w:jc w:val="left"/>
              <w:rPr/>
            </w:pPr>
            <w:r>
              <w:rPr/>
              <w:t> </w:t>
            </w:r>
          </w:p>
        </w:tc>
        <w:tc>
          <w:tcPr>
            <w:tcW w:w="445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one of the transactions mentioned above is made, the Company shall inform the Warrantholder hereof by written notice. Upon receipt of the written notice, the Warrantholder shall – in cases where the Warrantholder may extraordinarily exercise Warrants, see 5.8-5.10 –inform the Company in writing whether the Warrantholder will make use of the offer. If the Warrantholder has not answered the Company in writing within 2 weeks or fails to pay within the fixed time, Warrants shall become null and void without further notice or compensation. The Exercise Price cannot go below the nominal value of the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r>
        <w:rPr>
          <w:caps w:val="false"/>
          <w:smallCaps w:val="false"/>
        </w:rPr>
        <w:drawing>
          <wp:inline distT="0" distB="0" distL="0" distR="0">
            <wp:extent cx="1181100" cy="39624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1181100" cy="39624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5216"/>
        <w:gridCol w:w="60"/>
        <w:gridCol w:w="4782"/>
      </w:tblGrid>
      <w:tr>
        <w:trPr/>
        <w:tc>
          <w:tcPr>
            <w:tcW w:w="147" w:type="dxa"/>
            <w:tcBorders/>
            <w:vAlign w:val="center"/>
          </w:tcPr>
          <w:p>
            <w:pPr>
              <w:pStyle w:val="TableContents"/>
              <w:bidi w:val="0"/>
              <w:spacing w:before="0" w:after="283"/>
              <w:jc w:val="left"/>
              <w:rPr/>
            </w:pPr>
            <w:r>
              <w:rPr/>
              <w:t> </w:t>
            </w:r>
          </w:p>
        </w:tc>
        <w:tc>
          <w:tcPr>
            <w:tcW w:w="52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Warrantindehaverens rettigheder i anledning af en beslutning truffet af et kompetent organ i selskabet, jf. 5.10–5.12, er betinget af, at den relevante beslutning efterfølgende registreres i Erhvervsstyrelsen, hvis registrering er en gyldighedsbetingelse.</w:t>
            </w:r>
          </w:p>
        </w:tc>
        <w:tc>
          <w:tcPr>
            <w:tcW w:w="60" w:type="dxa"/>
            <w:tcBorders/>
            <w:vAlign w:val="center"/>
          </w:tcPr>
          <w:p>
            <w:pPr>
              <w:pStyle w:val="TableContents"/>
              <w:bidi w:val="0"/>
              <w:spacing w:before="0" w:after="283"/>
              <w:jc w:val="left"/>
              <w:rPr/>
            </w:pPr>
            <w:r>
              <w:rPr/>
              <w:t> </w:t>
            </w:r>
          </w:p>
        </w:tc>
        <w:tc>
          <w:tcPr>
            <w:tcW w:w="47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Warrantholder’s rights in connection with decisions made by any competent company body, see clause 5.10–5.12, shall be contingent on subsequent registration of the relevant decision with the Danish Business Authority provided that registration is a condition of its validity.</w:t>
            </w:r>
          </w:p>
        </w:tc>
      </w:tr>
      <w:tr>
        <w:trPr/>
        <w:tc>
          <w:tcPr>
            <w:tcW w:w="14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6. </w:t>
            </w:r>
          </w:p>
        </w:tc>
        <w:tc>
          <w:tcPr>
            <w:tcW w:w="521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TEGNING AF NYE AKTIER VED UDNYTTELSE AF WARRANTS</w:t>
            </w:r>
          </w:p>
        </w:tc>
        <w:tc>
          <w:tcPr>
            <w:tcW w:w="60" w:type="dxa"/>
            <w:tcBorders/>
            <w:vAlign w:val="center"/>
          </w:tcPr>
          <w:p>
            <w:pPr>
              <w:pStyle w:val="TableContents"/>
              <w:bidi w:val="0"/>
              <w:spacing w:before="0" w:after="283"/>
              <w:jc w:val="left"/>
              <w:rPr/>
            </w:pPr>
            <w:r>
              <w:rPr/>
              <w:t> </w:t>
            </w:r>
          </w:p>
        </w:tc>
        <w:tc>
          <w:tcPr>
            <w:tcW w:w="478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SUBSCRIPTION FOR NEW SHARES BY EXERCISE OF WARRANTS</w:t>
            </w:r>
          </w:p>
        </w:tc>
      </w:tr>
      <w:tr>
        <w:trPr/>
        <w:tc>
          <w:tcPr>
            <w:tcW w:w="147" w:type="dxa"/>
            <w:tcBorders/>
            <w:vAlign w:val="center"/>
          </w:tcPr>
          <w:p>
            <w:pPr>
              <w:pStyle w:val="TableContents"/>
              <w:bidi w:val="0"/>
              <w:spacing w:before="0" w:after="283"/>
              <w:jc w:val="left"/>
              <w:rPr/>
            </w:pPr>
            <w:r>
              <w:rPr/>
              <w:t> </w:t>
            </w:r>
          </w:p>
        </w:tc>
        <w:tc>
          <w:tcPr>
            <w:tcW w:w="52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Tegning af nye aktier ved udnyttelse af tildelte warrants finder sted ved, at Warrantindehaveren afleverer en af Selskabet udarbejdet udnyttelsesmeddelelse til Selskabet senest kl. 16:00 CET den sidste dag i Udnyttelsesperioden. Udnyttelsesmeddelelsen skal være udfyldt med alle informationer. Udnyttelsesprisen for de nye aktier, der skal betales ved et kontant indskud, skal være modtaget af Selskabet på en af Selskabet angivet konto senest på den sidste dag i Udnyttelsesperioden.</w:t>
            </w:r>
          </w:p>
        </w:tc>
        <w:tc>
          <w:tcPr>
            <w:tcW w:w="60" w:type="dxa"/>
            <w:tcBorders/>
            <w:vAlign w:val="center"/>
          </w:tcPr>
          <w:p>
            <w:pPr>
              <w:pStyle w:val="TableContents"/>
              <w:bidi w:val="0"/>
              <w:spacing w:before="0" w:after="283"/>
              <w:jc w:val="left"/>
              <w:rPr/>
            </w:pPr>
            <w:r>
              <w:rPr/>
              <w:t> </w:t>
            </w:r>
          </w:p>
        </w:tc>
        <w:tc>
          <w:tcPr>
            <w:tcW w:w="47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Subscription for new shares by exercise of granted warrants must be made through submission by the Warrantholder no later than the last day of the Exercise Period at 16:00 CET to the Company of an exercise notice drafted by the Company. The exercise notice shall be filled in with all information. The Company must have received the exercise price for the new shares, payable as a cash contribution on an account specified by the Company, by the last day of the Warrant Exercise period.</w:t>
            </w:r>
          </w:p>
        </w:tc>
      </w:tr>
      <w:tr>
        <w:trPr/>
        <w:tc>
          <w:tcPr>
            <w:tcW w:w="147" w:type="dxa"/>
            <w:tcBorders/>
            <w:vAlign w:val="center"/>
          </w:tcPr>
          <w:p>
            <w:pPr>
              <w:pStyle w:val="TableContents"/>
              <w:bidi w:val="0"/>
              <w:spacing w:before="0" w:after="283"/>
              <w:jc w:val="left"/>
              <w:rPr/>
            </w:pPr>
            <w:r>
              <w:rPr/>
              <w:t> </w:t>
            </w:r>
          </w:p>
        </w:tc>
        <w:tc>
          <w:tcPr>
            <w:tcW w:w="52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den i punkt. 6.1 angivne frist overskrides, enten således at Udnyttelsesmeddelelsen i udfyldt stand eller betalingen ikke er Selskabet i hænde inden kl. 16 på den sidste dag i Udnyttelsesperioden, anses tegningen for ugyldig, og Warrantindehaveren kan i denne situation ikke anses for herved at have udnyttet sine warrants.</w:t>
            </w:r>
          </w:p>
        </w:tc>
        <w:tc>
          <w:tcPr>
            <w:tcW w:w="60" w:type="dxa"/>
            <w:tcBorders/>
            <w:vAlign w:val="center"/>
          </w:tcPr>
          <w:p>
            <w:pPr>
              <w:pStyle w:val="TableContents"/>
              <w:bidi w:val="0"/>
              <w:spacing w:before="0" w:after="283"/>
              <w:jc w:val="left"/>
              <w:rPr/>
            </w:pPr>
            <w:r>
              <w:rPr/>
              <w:t> </w:t>
            </w:r>
          </w:p>
        </w:tc>
        <w:tc>
          <w:tcPr>
            <w:tcW w:w="47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limitation period set forth in clause 6.1 expires as a result of the Company not having received the filled -in Warrant Exercise Notice or the payment by 16:00 of the last day of the Warrant Exercise Period, the subscription shall be deemed invalid, and in this situation the Warrantholder shall not be considered as having exercised his/her/its Warrants.</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r>
        <w:rPr>
          <w:caps w:val="false"/>
          <w:smallCaps w:val="false"/>
        </w:rPr>
        <w:drawing>
          <wp:inline distT="0" distB="0" distL="0" distR="0">
            <wp:extent cx="1181100" cy="39624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1181100" cy="39624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95"/>
        <w:gridCol w:w="5039"/>
        <w:gridCol w:w="60"/>
        <w:gridCol w:w="95"/>
        <w:gridCol w:w="4767"/>
      </w:tblGrid>
      <w:tr>
        <w:trPr/>
        <w:tc>
          <w:tcPr>
            <w:tcW w:w="149"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warrants, som Warrantindehaveren ikke har udnyttet i den sidste dag i Udnyttelsesperioden, bortfalder uden yderligere varsel og uden kompensation.</w:t>
            </w:r>
          </w:p>
        </w:tc>
        <w:tc>
          <w:tcPr>
            <w:tcW w:w="60" w:type="dxa"/>
            <w:tcBorders/>
            <w:vAlign w:val="center"/>
          </w:tcPr>
          <w:p>
            <w:pPr>
              <w:pStyle w:val="TableContents"/>
              <w:bidi w:val="0"/>
              <w:spacing w:before="0" w:after="283"/>
              <w:jc w:val="left"/>
              <w:rPr/>
            </w:pPr>
            <w:r>
              <w:rPr/>
              <w:t> </w:t>
            </w:r>
          </w:p>
        </w:tc>
        <w:tc>
          <w:tcPr>
            <w:tcW w:w="486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not exercised by the Warrantholder prior to the last day in the Warrant Exercise Period shall become null and void without further notice and without compensation.</w:t>
            </w:r>
          </w:p>
        </w:tc>
      </w:tr>
      <w:tr>
        <w:trPr/>
        <w:tc>
          <w:tcPr>
            <w:tcW w:w="14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51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 NYE ORDINÆRE AKTIERS RETTIGHEDER</w:t>
            </w:r>
          </w:p>
        </w:tc>
        <w:tc>
          <w:tcPr>
            <w:tcW w:w="60" w:type="dxa"/>
            <w:tcBorders/>
            <w:vAlign w:val="center"/>
          </w:tcPr>
          <w:p>
            <w:pPr>
              <w:pStyle w:val="TableContents"/>
              <w:bidi w:val="0"/>
              <w:spacing w:before="0" w:after="283"/>
              <w:jc w:val="left"/>
              <w:rPr/>
            </w:pPr>
            <w:r>
              <w:rPr/>
              <w:t> </w:t>
            </w:r>
          </w:p>
        </w:tc>
        <w:tc>
          <w:tcPr>
            <w:tcW w:w="4862"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 RIGHTS OF NEW ORDINARY SHARES</w:t>
            </w:r>
          </w:p>
        </w:tc>
      </w:tr>
      <w:tr>
        <w:trPr/>
        <w:tc>
          <w:tcPr>
            <w:tcW w:w="149" w:type="dxa"/>
            <w:tcBorders/>
            <w:vAlign w:val="center"/>
          </w:tcPr>
          <w:p>
            <w:pPr>
              <w:pStyle w:val="TableContents"/>
              <w:bidi w:val="0"/>
              <w:spacing w:before="0" w:after="283"/>
              <w:jc w:val="left"/>
              <w:rPr>
                <w:sz w:val="4"/>
                <w:szCs w:val="4"/>
              </w:rPr>
            </w:pPr>
            <w:r>
              <w:rPr>
                <w:sz w:val="4"/>
                <w:szCs w:val="4"/>
              </w:rPr>
            </w:r>
          </w:p>
        </w:tc>
        <w:tc>
          <w:tcPr>
            <w:tcW w:w="513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Udover de ovenfor anførte vilkår for den til de udstedte Warrants hørende kapitalforhøjelse gælder følgende vilkår:</w:t>
            </w:r>
          </w:p>
        </w:tc>
        <w:tc>
          <w:tcPr>
            <w:tcW w:w="60" w:type="dxa"/>
            <w:tcBorders/>
            <w:vAlign w:val="center"/>
          </w:tcPr>
          <w:p>
            <w:pPr>
              <w:pStyle w:val="TableContents"/>
              <w:bidi w:val="0"/>
              <w:spacing w:before="0" w:after="283"/>
              <w:jc w:val="left"/>
              <w:rPr/>
            </w:pPr>
            <w:r>
              <w:rPr/>
              <w:t> </w:t>
            </w:r>
          </w:p>
        </w:tc>
        <w:tc>
          <w:tcPr>
            <w:tcW w:w="486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to the terms and conditions set forth above, the increase of the share capital relating to the Warrants granted shall be subject to the following terms and conditions:</w:t>
            </w:r>
          </w:p>
        </w:tc>
      </w:tr>
      <w:tr>
        <w:trPr/>
        <w:tc>
          <w:tcPr>
            <w:tcW w:w="149"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5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aktier udstedes i aktier à DKK 1 eller multipla heraf,</w:t>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47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will be divided into shares of nominally DKK 1 or multiples hereof;</w:t>
            </w:r>
          </w:p>
        </w:tc>
      </w:tr>
      <w:tr>
        <w:trPr/>
        <w:tc>
          <w:tcPr>
            <w:tcW w:w="149"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5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aktier skal give ret til udbytte i selskabet for det løbende regnskabsår, hvori aktierne tegnes, på lige fod med de eksisterende aktier og andre rettigheder i selskabet fra og med datoen for tegningen af aktierne,</w:t>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47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will carry dividend rights for the financial year in which subscription takes place on equal terms with the existing shares as well as other rights in the company as from the day of subscription of the shares;</w:t>
            </w:r>
          </w:p>
        </w:tc>
      </w:tr>
      <w:tr>
        <w:trPr/>
        <w:tc>
          <w:tcPr>
            <w:tcW w:w="149"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5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aktier skal tilhøre samme aktieklasse, som de eksisterende aktier i selskabet,</w:t>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47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shall belong to the same share class as the existing shares in the company;</w:t>
            </w:r>
          </w:p>
        </w:tc>
      </w:tr>
      <w:tr>
        <w:trPr/>
        <w:tc>
          <w:tcPr>
            <w:tcW w:w="149"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5039" w:type="dxa"/>
            <w:tcBorders/>
            <w:vAlign w:val="center"/>
          </w:tcPr>
          <w:p>
            <w:pPr>
              <w:pStyle w:val="TableContents"/>
              <w:bidi w:val="0"/>
              <w:spacing w:before="0" w:after="283"/>
              <w:jc w:val="both"/>
              <w:rPr>
                <w:sz w:val="20"/>
              </w:rPr>
            </w:pPr>
            <w:r>
              <w:rPr>
                <w:sz w:val="20"/>
              </w:rPr>
              <w:t>Kapitalforhøjelsen sker uden fortegningsret for de eksisterende aktionærer, idet tegningen sker på baggrund af Warrants udstedt til Warrantindehaveren,</w:t>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47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capital increase shall be made without any pre-emption rights for the existing shareholders, given that the subscription is based on Warrants issued to the Warrantholder;</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r>
        <w:rPr>
          <w:caps w:val="false"/>
          <w:smallCaps w:val="false"/>
        </w:rPr>
        <w:drawing>
          <wp:inline distT="0" distB="0" distL="0" distR="0">
            <wp:extent cx="1181100" cy="39624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1181100" cy="39624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4"/>
        <w:gridCol w:w="5202"/>
        <w:gridCol w:w="60"/>
        <w:gridCol w:w="118"/>
        <w:gridCol w:w="4573"/>
      </w:tblGrid>
      <w:tr>
        <w:trPr/>
        <w:tc>
          <w:tcPr>
            <w:tcW w:w="148"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pPr>
            <w:r>
              <w:rPr/>
              <w:t>-</w:t>
            </w:r>
          </w:p>
        </w:tc>
        <w:tc>
          <w:tcPr>
            <w:tcW w:w="5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Der skal ikke gælde indskrænkninger i den til de nye aktiers knyttede fortegningsret ved fremtidige kapitalforhøjelser,</w:t>
            </w:r>
          </w:p>
        </w:tc>
        <w:tc>
          <w:tcPr>
            <w:tcW w:w="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pPr>
            <w:r>
              <w:rPr/>
              <w:t>-</w:t>
            </w:r>
          </w:p>
        </w:tc>
        <w:tc>
          <w:tcPr>
            <w:tcW w:w="45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pre-emption rights attached to the new shares shall not be subject to any restrictions in the event of future capital increases;</w:t>
            </w:r>
          </w:p>
        </w:tc>
      </w:tr>
      <w:tr>
        <w:trPr/>
        <w:tc>
          <w:tcPr>
            <w:tcW w:w="148"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pPr>
            <w:r>
              <w:rPr/>
              <w:t>-</w:t>
            </w:r>
          </w:p>
        </w:tc>
        <w:tc>
          <w:tcPr>
            <w:tcW w:w="5202" w:type="dxa"/>
            <w:tcBorders/>
            <w:vAlign w:val="center"/>
          </w:tcPr>
          <w:p>
            <w:pPr>
              <w:pStyle w:val="TableContents"/>
              <w:bidi w:val="0"/>
              <w:spacing w:before="0" w:after="283"/>
              <w:jc w:val="both"/>
              <w:rPr>
                <w:sz w:val="20"/>
              </w:rPr>
            </w:pPr>
            <w:r>
              <w:rPr>
                <w:sz w:val="20"/>
              </w:rPr>
              <w:t>Fristen for tegning af de nye aktier beregnes på baggrund af bestemmelserne ovenfor,</w:t>
            </w:r>
          </w:p>
        </w:tc>
        <w:tc>
          <w:tcPr>
            <w:tcW w:w="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pPr>
            <w:r>
              <w:rPr/>
              <w:t>-</w:t>
            </w:r>
          </w:p>
        </w:tc>
        <w:tc>
          <w:tcPr>
            <w:tcW w:w="45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deadline for subscription of the new shares shall be calculated pursuant to the provisions set forth above;</w:t>
            </w:r>
          </w:p>
        </w:tc>
      </w:tr>
      <w:tr>
        <w:trPr/>
        <w:tc>
          <w:tcPr>
            <w:tcW w:w="148"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pPr>
            <w:r>
              <w:rPr/>
              <w:t>-</w:t>
            </w:r>
          </w:p>
        </w:tc>
        <w:tc>
          <w:tcPr>
            <w:tcW w:w="5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fulde beløb til tegning af det antal aktier, som ønskes tegnet, skal indbetales kontant og senest samtidig med tegningen af de pågældende aktier, og</w:t>
            </w:r>
          </w:p>
        </w:tc>
        <w:tc>
          <w:tcPr>
            <w:tcW w:w="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pPr>
            <w:r>
              <w:rPr/>
              <w:t>-</w:t>
            </w:r>
          </w:p>
        </w:tc>
        <w:tc>
          <w:tcPr>
            <w:tcW w:w="45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full subscription amount for the number of shares which are to be subscribed, shall be paid in cash no later than on the day of subscription of the shares in question; and</w:t>
            </w:r>
          </w:p>
        </w:tc>
      </w:tr>
      <w:tr>
        <w:trPr/>
        <w:tc>
          <w:tcPr>
            <w:tcW w:w="148"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pPr>
            <w:r>
              <w:rPr/>
              <w:t>-</w:t>
            </w:r>
          </w:p>
        </w:tc>
        <w:tc>
          <w:tcPr>
            <w:tcW w:w="5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nye aktier skal lyde på navn, noteres i selskabets ejerbog og være ikke-omsætningspapirer.</w:t>
            </w:r>
          </w:p>
        </w:tc>
        <w:tc>
          <w:tcPr>
            <w:tcW w:w="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pPr>
            <w:r>
              <w:rPr/>
              <w:t>-</w:t>
            </w:r>
          </w:p>
        </w:tc>
        <w:tc>
          <w:tcPr>
            <w:tcW w:w="45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new shares shall be made out in the name of the holder, be recorded in the company’s register of shareholders and be non-negotiable instruments.</w:t>
            </w:r>
          </w:p>
        </w:tc>
      </w:tr>
      <w:tr>
        <w:trPr/>
        <w:tc>
          <w:tcPr>
            <w:tcW w:w="148" w:type="dxa"/>
            <w:tcBorders/>
            <w:vAlign w:val="center"/>
          </w:tcPr>
          <w:p>
            <w:pPr>
              <w:pStyle w:val="TableContents"/>
              <w:bidi w:val="0"/>
              <w:spacing w:before="0" w:after="283"/>
              <w:jc w:val="left"/>
              <w:rPr/>
            </w:pPr>
            <w:r>
              <w:rPr/>
              <w:t> </w:t>
            </w:r>
          </w:p>
        </w:tc>
        <w:tc>
          <w:tcPr>
            <w:tcW w:w="5306"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afholder omkostninger i forbindelse med udstedelsen af Warrants og senere udnyttelse heraf. Selskabets omkostninger forbundet med udstedelsen af Warrants og den hertil hørende kapitalforhøjelse anslås til DKK 10.000.</w:t>
            </w:r>
          </w:p>
        </w:tc>
        <w:tc>
          <w:tcPr>
            <w:tcW w:w="60" w:type="dxa"/>
            <w:tcBorders/>
            <w:vAlign w:val="center"/>
          </w:tcPr>
          <w:p>
            <w:pPr>
              <w:pStyle w:val="TableContents"/>
              <w:bidi w:val="0"/>
              <w:spacing w:before="0" w:after="283"/>
              <w:jc w:val="left"/>
              <w:rPr/>
            </w:pPr>
            <w:r>
              <w:rPr/>
              <w:t> </w:t>
            </w:r>
          </w:p>
        </w:tc>
        <w:tc>
          <w:tcPr>
            <w:tcW w:w="469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pay all costs connected with granting of Warrants and later exercise thereof. The Company’s costs in connection with issue of Warrants and the related capital increase are estimated to DKK 10,000.</w:t>
            </w:r>
          </w:p>
        </w:tc>
      </w:tr>
      <w:tr>
        <w:trPr/>
        <w:tc>
          <w:tcPr>
            <w:tcW w:w="14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5306"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SKATTEMÆSSIGE KONSEKVENSER</w:t>
            </w:r>
          </w:p>
        </w:tc>
        <w:tc>
          <w:tcPr>
            <w:tcW w:w="60" w:type="dxa"/>
            <w:tcBorders/>
            <w:vAlign w:val="center"/>
          </w:tcPr>
          <w:p>
            <w:pPr>
              <w:pStyle w:val="TableContents"/>
              <w:bidi w:val="0"/>
              <w:spacing w:before="0" w:after="283"/>
              <w:jc w:val="left"/>
              <w:rPr/>
            </w:pPr>
            <w:r>
              <w:rPr/>
              <w:t> </w:t>
            </w:r>
          </w:p>
        </w:tc>
        <w:tc>
          <w:tcPr>
            <w:tcW w:w="4691"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TAX CONSEQUENCES</w:t>
            </w:r>
          </w:p>
        </w:tc>
      </w:tr>
      <w:tr>
        <w:trPr/>
        <w:tc>
          <w:tcPr>
            <w:tcW w:w="148" w:type="dxa"/>
            <w:tcBorders/>
            <w:vAlign w:val="center"/>
          </w:tcPr>
          <w:p>
            <w:pPr>
              <w:pStyle w:val="TableContents"/>
              <w:bidi w:val="0"/>
              <w:spacing w:before="0" w:after="283"/>
              <w:jc w:val="left"/>
              <w:rPr/>
            </w:pPr>
            <w:r>
              <w:rPr/>
              <w:t> </w:t>
            </w:r>
          </w:p>
        </w:tc>
        <w:tc>
          <w:tcPr>
            <w:tcW w:w="5306"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skattemæssige konsekvenser forbundet med Warrantindehaverens tegning eller udnyttelse af Warrants er Selskabet uvedkommende.</w:t>
            </w:r>
          </w:p>
        </w:tc>
        <w:tc>
          <w:tcPr>
            <w:tcW w:w="60" w:type="dxa"/>
            <w:tcBorders/>
            <w:vAlign w:val="center"/>
          </w:tcPr>
          <w:p>
            <w:pPr>
              <w:pStyle w:val="TableContents"/>
              <w:bidi w:val="0"/>
              <w:spacing w:before="0" w:after="283"/>
              <w:jc w:val="left"/>
              <w:rPr/>
            </w:pPr>
            <w:r>
              <w:rPr/>
              <w:t> </w:t>
            </w:r>
          </w:p>
        </w:tc>
        <w:tc>
          <w:tcPr>
            <w:tcW w:w="469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tax implications connected to the Warrant-holder’s subscription for, or exercise of Warrants shall be of no concern to the Company.</w:t>
            </w:r>
          </w:p>
        </w:tc>
      </w:tr>
      <w:tr>
        <w:trPr/>
        <w:tc>
          <w:tcPr>
            <w:tcW w:w="14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5306"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LOVVALG OG VÆRNETING</w:t>
            </w:r>
          </w:p>
        </w:tc>
        <w:tc>
          <w:tcPr>
            <w:tcW w:w="60" w:type="dxa"/>
            <w:tcBorders/>
            <w:vAlign w:val="center"/>
          </w:tcPr>
          <w:p>
            <w:pPr>
              <w:pStyle w:val="TableContents"/>
              <w:bidi w:val="0"/>
              <w:spacing w:before="0" w:after="283"/>
              <w:jc w:val="left"/>
              <w:rPr/>
            </w:pPr>
            <w:r>
              <w:rPr/>
              <w:t> </w:t>
            </w:r>
          </w:p>
        </w:tc>
        <w:tc>
          <w:tcPr>
            <w:tcW w:w="4691"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LAW AND VENUE</w:t>
            </w:r>
          </w:p>
        </w:tc>
      </w:tr>
      <w:tr>
        <w:trPr/>
        <w:tc>
          <w:tcPr>
            <w:tcW w:w="148" w:type="dxa"/>
            <w:tcBorders/>
            <w:vAlign w:val="center"/>
          </w:tcPr>
          <w:p>
            <w:pPr>
              <w:pStyle w:val="TableContents"/>
              <w:bidi w:val="0"/>
              <w:spacing w:before="0" w:after="283"/>
              <w:jc w:val="left"/>
              <w:rPr/>
            </w:pPr>
            <w:r>
              <w:rPr/>
              <w:t> </w:t>
            </w:r>
          </w:p>
        </w:tc>
        <w:tc>
          <w:tcPr>
            <w:tcW w:w="5306"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Tegningen af Warrants, vilkårene herfor og udnyttelsen, og vilkårene for senere tegning af aktier i Selskabet skal reguleres af dansk ret.</w:t>
            </w:r>
          </w:p>
        </w:tc>
        <w:tc>
          <w:tcPr>
            <w:tcW w:w="60" w:type="dxa"/>
            <w:tcBorders/>
            <w:vAlign w:val="center"/>
          </w:tcPr>
          <w:p>
            <w:pPr>
              <w:pStyle w:val="TableContents"/>
              <w:bidi w:val="0"/>
              <w:spacing w:before="0" w:after="283"/>
              <w:jc w:val="left"/>
              <w:rPr/>
            </w:pPr>
            <w:r>
              <w:rPr/>
              <w:t> </w:t>
            </w:r>
          </w:p>
        </w:tc>
        <w:tc>
          <w:tcPr>
            <w:tcW w:w="469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Acceptance of Warrants, the terms and conditions thereto and the exercise, and terms and conditions for future subscription for shares in the Company shall be governed by Danish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drawing>
          <wp:inline distT="0" distB="0" distL="0" distR="0">
            <wp:extent cx="1181100" cy="39624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1181100" cy="396240"/>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3"/>
        <w:gridCol w:w="60"/>
        <w:gridCol w:w="4767"/>
      </w:tblGrid>
      <w:tr>
        <w:trPr/>
        <w:tc>
          <w:tcPr>
            <w:tcW w:w="75" w:type="dxa"/>
            <w:tcBorders/>
            <w:vAlign w:val="center"/>
          </w:tcPr>
          <w:p>
            <w:pPr>
              <w:pStyle w:val="TableContents"/>
              <w:bidi w:val="0"/>
              <w:spacing w:before="0" w:after="283"/>
              <w:jc w:val="left"/>
              <w:rPr/>
            </w:pPr>
            <w:r>
              <w:rPr/>
              <w:t> </w:t>
            </w:r>
          </w:p>
        </w:tc>
        <w:tc>
          <w:tcPr>
            <w:tcW w:w="5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der måtte opstå en tvist mellem Warrantindehaveren og Selskabet i relation til forståelsen eller gennemførelsen af warrantprogrammet, skal denne søges bilagt i mindelighed ved en forhandling mellem parterne.</w:t>
            </w:r>
          </w:p>
        </w:tc>
        <w:tc>
          <w:tcPr>
            <w:tcW w:w="60" w:type="dxa"/>
            <w:tcBorders/>
            <w:vAlign w:val="center"/>
          </w:tcPr>
          <w:p>
            <w:pPr>
              <w:pStyle w:val="TableContents"/>
              <w:bidi w:val="0"/>
              <w:spacing w:before="0" w:after="283"/>
              <w:jc w:val="left"/>
              <w:rPr/>
            </w:pPr>
            <w:r>
              <w:rPr/>
              <w:t> </w:t>
            </w:r>
          </w:p>
        </w:tc>
        <w:tc>
          <w:tcPr>
            <w:tcW w:w="47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disagreement between the Warrant-holder and the Company in relation to the understanding or implementation of the warrant scheme shall be settled amicably by negotiation between the parties.</w:t>
            </w:r>
          </w:p>
        </w:tc>
      </w:tr>
      <w:tr>
        <w:trPr/>
        <w:tc>
          <w:tcPr>
            <w:tcW w:w="75" w:type="dxa"/>
            <w:tcBorders/>
            <w:vAlign w:val="center"/>
          </w:tcPr>
          <w:p>
            <w:pPr>
              <w:pStyle w:val="TableContents"/>
              <w:bidi w:val="0"/>
              <w:spacing w:before="0" w:after="283"/>
              <w:jc w:val="left"/>
              <w:rPr/>
            </w:pPr>
            <w:r>
              <w:rPr/>
              <w:t> </w:t>
            </w:r>
          </w:p>
        </w:tc>
        <w:tc>
          <w:tcPr>
            <w:tcW w:w="5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parterne ikke kan opnå enighed, skal eventuelle tvister afgøres ved de almindelige danske domstole.</w:t>
            </w:r>
          </w:p>
        </w:tc>
        <w:tc>
          <w:tcPr>
            <w:tcW w:w="60" w:type="dxa"/>
            <w:tcBorders/>
            <w:vAlign w:val="center"/>
          </w:tcPr>
          <w:p>
            <w:pPr>
              <w:pStyle w:val="TableContents"/>
              <w:bidi w:val="0"/>
              <w:spacing w:before="0" w:after="283"/>
              <w:jc w:val="left"/>
              <w:rPr/>
            </w:pPr>
            <w:r>
              <w:rPr/>
              <w:t> </w:t>
            </w:r>
          </w:p>
        </w:tc>
        <w:tc>
          <w:tcPr>
            <w:tcW w:w="47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parties fail to reach consensus, any disputes shall be settled by the ordinary Danish courts.</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TO SUBSCRIBE FOR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REPRESENTED BY 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EVAXION BIOTECH A/S</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2105"/>
        <w:gridCol w:w="3695"/>
        <w:gridCol w:w="60"/>
      </w:tblGrid>
      <w:tr>
        <w:trPr/>
        <w:tc>
          <w:tcPr>
            <w:tcW w:w="2105" w:type="dxa"/>
            <w:tcBorders/>
            <w:vAlign w:val="center"/>
          </w:tcPr>
          <w:p>
            <w:pPr>
              <w:pStyle w:val="TableContents"/>
              <w:bidi w:val="0"/>
              <w:spacing w:before="0" w:after="283"/>
              <w:jc w:val="both"/>
              <w:rPr>
                <w:sz w:val="20"/>
              </w:rPr>
            </w:pPr>
            <w:r>
              <w:rPr>
                <w:sz w:val="20"/>
              </w:rPr>
              <w:t>Warrant ADSs: ________</w:t>
            </w:r>
          </w:p>
        </w:tc>
        <w:tc>
          <w:tcPr>
            <w:tcW w:w="3695" w:type="dxa"/>
            <w:tcBorders/>
            <w:vAlign w:val="center"/>
          </w:tcPr>
          <w:p>
            <w:pPr>
              <w:pStyle w:val="TableContents"/>
              <w:bidi w:val="0"/>
              <w:spacing w:before="0" w:after="283"/>
              <w:jc w:val="right"/>
              <w:rPr/>
            </w:pPr>
            <w:r>
              <w:rPr/>
              <w:t>Initial Exercise Date: January 31, 2025</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TO SUBSCRIBE FOR ORDINARY SHARES REPRESENTED BY AMERICAN DEPOSITARY SHARES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January 31, 2030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Evaxion Biotech A/S, a public limited liability company incorporated under the laws of the Kingdom of Denmark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______ Ordinary Shares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represented by _______ ADSs (the “</w:t>
      </w:r>
      <w:r>
        <w:rPr>
          <w:rFonts w:ascii="Times New Roman;Times;Serif" w:hAnsi="Times New Roman;Times;Serif"/>
          <w:b w:val="false"/>
          <w:i w:val="false"/>
          <w:caps w:val="false"/>
          <w:smallCaps w:val="false"/>
          <w:sz w:val="20"/>
          <w:u w:val="single"/>
        </w:rPr>
        <w:t>Warrant ADSs</w:t>
      </w:r>
      <w:r>
        <w:rPr>
          <w:rFonts w:ascii="Times New Roman;Times;Serif" w:hAnsi="Times New Roman;Times;Serif"/>
          <w:b w:val="false"/>
          <w:i w:val="false"/>
          <w:caps w:val="false"/>
          <w:smallCaps w:val="false"/>
          <w:sz w:val="20"/>
        </w:rPr>
        <w:t>”), as subject to adjustment hereunder. The subscription price of one Warrant ADS under this Warrant shall be equal to the Exercise Price, as defined in Section 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Warrant, the following terms have the meanings indicated in this Section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means American Depositary Shares issued pursuant to the Deposit Agreement, each representing fifty (50)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or national holiday in the United States or Denmark or any day on which banking institutions in the State of New York or Denmark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and Copenhagen, Denmark are generally open for use by customers on such day or other governmental action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Danish Counsel</w:t>
      </w:r>
      <w:r>
        <w:rPr>
          <w:rFonts w:ascii="Times New Roman;Times;Serif" w:hAnsi="Times New Roman;Times;Serif"/>
          <w:b w:val="false"/>
          <w:i w:val="false"/>
          <w:caps w:val="false"/>
          <w:smallCaps w:val="false"/>
          <w:sz w:val="20"/>
        </w:rPr>
        <w:t>” means Mazanti-Andersen, Amaliegade 10 1256 Copenhagen K, Denmark, or any successor Danish counsel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means the Deposit Agreement, dated as of February 4, 2021, among the Company, The Bank of New York Mellon as Depositary and the owners and holders of ADSs from time to time, as such agreement may be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The Bank of New York Mellon and any successor depositary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ordinary shares of the Company, DKK 0.25 nominal value per share,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means the securities purchase agreement, dated as of January 30, 2025, by and between the Company and each of the purchasers signatory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Company’s registration statement on Form F-1 (File No. 333-283304).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Ordinary Shares and/or ADSs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Computershare A/S, the current transfer agent of the Company, with a mailing address of Lottenborgvej 26 D, 1., DK-2800 Kgs. Lyngby, Denmark and company registration number (CVR) no. 27088899,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L.P. (based on a Trading Day from 9:30 a.m. (New York City time) to 4:02 p.m. (New York City time)), (b) if OTCQB Venture Market (“</w:t>
      </w:r>
      <w:r>
        <w:rPr>
          <w:rFonts w:ascii="Times New Roman;Times;Serif" w:hAnsi="Times New Roman;Times;Serif"/>
          <w:b w:val="false"/>
          <w:i w:val="false"/>
          <w:caps w:val="false"/>
          <w:smallCaps w:val="false"/>
          <w:sz w:val="20"/>
          <w:u w:val="single"/>
        </w:rPr>
        <w:t>OTCQB</w:t>
      </w:r>
      <w:r>
        <w:rPr>
          <w:rFonts w:ascii="Times New Roman;Times;Serif" w:hAnsi="Times New Roman;Times;Serif"/>
          <w:b w:val="false"/>
          <w:i w:val="false"/>
          <w:caps w:val="false"/>
          <w:smallCaps w:val="false"/>
          <w:sz w:val="20"/>
        </w:rPr>
        <w:t>”) or OTCQX Best Market (“</w:t>
      </w:r>
      <w:r>
        <w:rPr>
          <w:rFonts w:ascii="Times New Roman;Times;Serif" w:hAnsi="Times New Roman;Times;Serif"/>
          <w:b w:val="false"/>
          <w:i w:val="false"/>
          <w:caps w:val="false"/>
          <w:smallCaps w:val="false"/>
          <w:sz w:val="20"/>
          <w:u w:val="single"/>
        </w:rPr>
        <w:t>OTCQX</w:t>
      </w:r>
      <w:r>
        <w:rPr>
          <w:rFonts w:ascii="Times New Roman;Times;Serif" w:hAnsi="Times New Roman;Times;Serif"/>
          <w:b w:val="false"/>
          <w:i w:val="false"/>
          <w:caps w:val="false"/>
          <w:smallCaps w:val="false"/>
          <w:sz w:val="20"/>
        </w:rPr>
        <w:t>”) is not a Trading Market, the volume weighted average price of the ADSs for such date (or the nearest preceding date) on OTCQB or OTCQX as applicable, (c) if the ADSs are not then listed or quoted for trading on OTCQB or OTCQX and if prices for the ADSs are then reported in the “Pink” Open Market (“</w:t>
      </w:r>
      <w:r>
        <w:rPr>
          <w:rFonts w:ascii="Times New Roman;Times;Serif" w:hAnsi="Times New Roman;Times;Serif"/>
          <w:b w:val="false"/>
          <w:i w:val="false"/>
          <w:caps w:val="false"/>
          <w:smallCaps w:val="false"/>
          <w:sz w:val="20"/>
          <w:u w:val="single"/>
        </w:rPr>
        <w:t>Pink Market</w:t>
      </w:r>
      <w:r>
        <w:rPr>
          <w:rFonts w:ascii="Times New Roman;Times;Serif" w:hAnsi="Times New Roman;Times;Serif"/>
          <w:b w:val="false"/>
          <w:i w:val="false"/>
          <w:caps w:val="false"/>
          <w:smallCaps w:val="false"/>
          <w:sz w:val="20"/>
        </w:rPr>
        <w:t>”) operated by OTC Markets, Inc. (or a similar organization or agency succeeding to its functions of reporting prices), the most recent bid price per ADS so reported, or (d) in all other cases, the fair market value of an ADS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This Warrant may be exercised,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On the Trading Day (based on New York City time) on which the delivery of the Notice of Exercise occurs, the Holder shall deliver to the Company Danish Counsel the aggregate Exercise Price for the Warrant ADSs specified in the applicable Notice of Exercise by wire transfer to the Company Danish Counsel pursuant to the bank wire transfer instructions set forth on the Notice of Exercise attached hereto.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subscribed for all of the Warrant ADSs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the subscription of a portion of the total number of Warrant ADSs available hereunder shall have the effect of reducing the outstanding number of Warrant ADSs purchasable hereunder in an amount equal to the applicable number of Warrant ADSs subscribed. The Company shall record the number of Warrants issued to the Holder and the number of Warrant ADSs subscribed through exercise and the date of such subscription of the Warrant ADSs. The Company shall deliver any objection to any Notice of Exercise within one (1) Trading Day of receipt of such notice. The Holder and any assignee, by acceptance of this Warrant, acknowledge and agree that, by reason of the provisions of this paragraph, following the subscription for a portion of the Warrant ADSs hereunder, the number of Warrant ADSs available for subscription hereunder at any given time may be less than the amount stated on the face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per ADS under this Warrant shall be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2.71</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Unavailability of Registration Statement</w:t>
      </w:r>
      <w:r>
        <w:rPr>
          <w:rFonts w:ascii="Times New Roman;Times;Serif" w:hAnsi="Times New Roman;Times;Serif"/>
          <w:b w:val="false"/>
          <w:i w:val="false"/>
          <w:caps w:val="false"/>
          <w:smallCaps w:val="false"/>
          <w:sz w:val="20"/>
        </w:rPr>
        <w:t>. Notwithstanding anything to the contrary contained herein, if there is no effective registration statement registering, or the prospectus contained therein is not available for, the sale of all of Warrant ADSs, representing the underlying Warrant Shares, issuable under this Warrant at any time following the Initial Exercise Date and ending on the Termination Date, the Holder shall be permitted to exercise this Warrant by delivery of a Notice of Exercise to the Company, and, within one (1) Trading Day (based on New York City time) following the delivery of such Notice of Exercise, deliver to the Company Danish Counsel the aggregate Exercise Price with respect to such exercise of this Warrant. Upon delivery by the Holder of a Notice of Exercise during a Registration Failure Period (as defined below) and the timely payment by the Holder of the aggregate Exercise Price, the Company shall be required to (1) pay in cash to the Holder on each Trading Day during the Registration Failure Period an amount equal to 1.0% of the product of (A) the number of Warrant ADSs subject to the exercise by the Holder pursuant to the immediately preceding sentence and (B) the VWAP of the ADSs on the date of delivery of the Notice of Exercise to the Company, and (2) on the Trading Day immediately following the date on which the Registration Failure Period ends, deliver all of the Warrant ADSs required to be delivered pursuant to such Notice of Exercise by crediting the account of the Holder’s prime broker with The Depository Trust Company through DWAC (as defined below). The Company shall pay any cash amounts owed pursuant to clause (1) of the immediately preceding sentence on each corresponding Trading Day during the Registration Failure Period. As used herein, “</w:t>
      </w:r>
      <w:r>
        <w:rPr>
          <w:rFonts w:ascii="Times New Roman;Times;Serif" w:hAnsi="Times New Roman;Times;Serif"/>
          <w:b w:val="false"/>
          <w:i w:val="false"/>
          <w:caps w:val="false"/>
          <w:smallCaps w:val="false"/>
          <w:sz w:val="20"/>
          <w:u w:val="single"/>
        </w:rPr>
        <w:t>Registration Failure Period</w:t>
      </w:r>
      <w:r>
        <w:rPr>
          <w:rFonts w:ascii="Times New Roman;Times;Serif" w:hAnsi="Times New Roman;Times;Serif"/>
          <w:b w:val="false"/>
          <w:i w:val="false"/>
          <w:caps w:val="false"/>
          <w:smallCaps w:val="false"/>
          <w:sz w:val="20"/>
        </w:rPr>
        <w:t>” means the period (x) beginning on the date of delivery of a Notice of Exercise at a time when there is no registration statement registering, or the prospectus contained therein is not available for, the sale of all of the Warrant ADSs, representing the underlying Warrant Shares, issuable under this Warrant, and (y) ending on the later of (A) the date that there is an effective registration statement registering, and the prospectus contained therein is available for, the sale of all of the Warrant ADSs, representing the underlying Warrant Shares, issuable hereunder and (B) the date of delivery of all of the Warrant ADSs required to be delivered pursuant to the Notice of Exercise by crediting the account of the Holder’s prime broker with The Depository Trust Company through DWAC.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Delivery of Warrant ADSs Upon Exercise</w:t>
      </w:r>
      <w:r>
        <w:rPr>
          <w:rFonts w:ascii="Times New Roman;Times;Serif" w:hAnsi="Times New Roman;Times;Serif"/>
          <w:b w:val="false"/>
          <w:i w:val="false"/>
          <w:caps w:val="false"/>
          <w:smallCaps w:val="false"/>
          <w:sz w:val="20"/>
        </w:rPr>
        <w:t>. Upon the exercise of this Warrant, the Company shall enter the Warrant Shares in the name of the Holder in the Company’s share register, deposit the Warrant Shares in connection with such exercise with the Depositary for the ADSs, and instruct the Depositary to transmit the Warrant ADSs purchased hereunder to the Holder by crediting the account of the Holder’s or its designee’s balance account with The Depository Trust Company through its Deposit/Withdrawal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Depositary is then a participant in such system and there is an effective registration statement permitting the issuance of the Warrant ADSs, representing the underlying Warrant Shares, to the Holder, by the date that is the earlier of (i) two (2) Trading Days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ADS Delivery Date</w:t>
      </w:r>
      <w:r>
        <w:rPr>
          <w:rFonts w:ascii="Times New Roman;Times;Serif" w:hAnsi="Times New Roman;Times;Serif"/>
          <w:b w:val="false"/>
          <w:i w:val="false"/>
          <w:caps w:val="false"/>
          <w:smallCaps w:val="false"/>
          <w:sz w:val="20"/>
        </w:rPr>
        <w:t>”), provided that the Company shall not be obligated to deliver the Warrant ADSs hereunder unless the Company Danish Counsel has received the aggregate Exercise Price on or before the Trading Day (based on New York City time) immediately prior to the Warrant ADS Delivery Date. Upon delivery of the Notice of Exercise, the Holder shall be deemed for all corporate purposes to have become the holder of record of the Warrant ADSs with respect to which this Warrant has been exercised, irrespective of the date of delivery of the Warrant ADSs, provided that payment of the aggregate Exercise Price is received by the Warrant ADS Delivery Date. If the Company fails for any reason to cause the Depositary to deliver to the Holder the Warrant ADSs subject to a Notice of Exercise by the Warrant ADS Delivery Date, the Company shall pay to the Holder, in cash, as liquidated damages and not as a penalty, for each $1,000 of Warrant ADSs subject to such exercise (based on the VWAP of the ADSs on the date of the applicable Notice of Exercise), $10 per Trading Day (increasing to $20 per Trading Day on the third Trading Day after the Warrant ADS Delivery Date) for each Trading Day after such Warrant ADS Delivery Date until such Warrant ADSs are delivered or the Holder rescinds such exercise. The Company agrees to maintain a depositary and a transfer agent that each are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ADSs as in effect on the date of delivery of the Notice of Exercise. Notwithstanding the foregoing, with respect to any Notice(s) of Exercise delivered on or prior to 12:00 p.m. (New York City time) on the Trading Day prior to the Initial Exercise Date, which may be delivered at any time after the time of execution of the Purchase Agreement, the Company agrees to deliver the Warrant ADSs subject to such notice(s) by 4:00 p.m. (New York City time) on the Initial Exercise Date and the Initial Exercise Date shall be the Warrant ADS Delivery Date for purposes hereunder, provided that payment of the aggregate Exercise Price is delivered to Company Danish Counsel by 12:00 p.m. (New York City time) on the Trading Day prior to the Initial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ADSs, deliver to the Holder a new Warrant certificate evidencing the rights of the Holder to subscribe for the unsubscribed Warrant ADSs called for by this Warrant, which new Warrant shall in all other respects be identical with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Depositary to transmit to the Holder the Warrant ADSs pursuant to Section 2(d)(i) by the Warrant ADS Delivery Date, then the Holder will have the right to rescind such exercise prior to the delivery of such Warrant ADSs hereunder (with the effect that the Holder’s right to acquire such Warrant ADSs pursuant to this Warrant shall be restored) and the Company shall return to the Holder the aggregate Exercise Price paid to the Company Danish Counsel for such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Compensation for Buy-In on Failure to Timely Deliver Warrant ADSs Upon Exercise</w:t>
      </w:r>
      <w:r>
        <w:rPr>
          <w:rFonts w:ascii="Times New Roman;Times;Serif" w:hAnsi="Times New Roman;Times;Serif"/>
          <w:b w:val="false"/>
          <w:i w:val="false"/>
          <w:caps w:val="false"/>
          <w:smallCaps w:val="false"/>
          <w:sz w:val="20"/>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equivalent number of Warrant ADSs for which such exercise was not honored and return any amount received by the Company Danish Counsel in respect of the Exercise Price for those Warrant ADSs (in which case such exercise shall be deemed rescinded) or deliver to the Holder the number of Warrant ADSs that would have been issued had the Company timely complied with its exercise and delivery obligations hereunder. For example, if the Holder purchases ADSs having a total purchase price of $11,000 to cover a Buy-In with respect to an attempted exercise of Warrants for ADSs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ADSs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Fractional Ordinary Shares or Warrant ADSs</w:t>
      </w:r>
      <w:r>
        <w:rPr>
          <w:rFonts w:ascii="Times New Roman;Times;Serif" w:hAnsi="Times New Roman;Times;Serif"/>
          <w:b w:val="false"/>
          <w:i w:val="false"/>
          <w:caps w:val="false"/>
          <w:smallCaps w:val="false"/>
          <w:sz w:val="20"/>
        </w:rPr>
        <w:t>. No fractional Warrant Shares or Warrant ADSs shall be issued upon the exercise of this Warrant. As to any fraction of a Warrant ADS which the Holder would otherwise be entitled to subscribe upon such exercise, the Company shall, at its election, either pay a cash adjustment in respect of such final fraction in an amount equal to such fraction multiplied by the Exercise Price or round up to the next whole ADS, provided that the fraction of an ADS shall not be rounded up to the next whole ADS if such rounding would result in the issue price being lower than the nominal value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ADSs shall be made without charge to the Holder for any issue or transfer tax or other incidental expense in respect of the issuance of such Warrant ADSs, all of which taxes and expenses shall be paid by the Company, and such Warrant ADSs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ADSs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Depositary and Transfer Agent fees required for same-day processing of any Notice of Exercise and all fees to the Depository Trust Company (or another established clearing corporation performing similar functions) required for same-day electronic issuance and delivery of the Warrant ADSs. The Company shall pay all applicable fees and expenses of the Depositary and Transfer Agent in connection with the issuance of the Warrants ADSs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underlying such Warrant ADSs issuable upon exercise of this Warrant with respect to which such determination is being made, but shall exclude the number of Ordinary Shares underlying Warrant ADSs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annual report on Form 20-F, Report on Form 6-K or other public filings filed with the Commission, as the case may be, (B) a more recent public announcement by the Company or (C) a more recent written notice by the Company or the Depositary or the Transfer Agent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(or, upon election by a Holder prior to the issuance of any Warrants, 9.99%) of the number of Ordinary Shares outstanding immediately after giving effect to the issuance of the Ordinary Shares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its ADSs or Ordinary Shares or any other equity or equity equivalent securities payable in ADSs or Ordinary Shares (which, for avoidance of doubt, shall not include any Warrant Shares or Warrant ADSs issued by the Company upon exercise of this Warrant), (ii) subdivides outstanding Ordinary Shares or ADSs into a larger number of Ordinary Shares or ADSs, as applicable, (iii) combines (including by way of reverse share split) outstanding ADSs or Ordinary Shares into a smaller number of Ordinary Shares or ADSs, as applicable, or (iv) issues by reclassification of ADSs, Ordinary Shares or any shares of capital stock of the Company, then in each case the Exercise Price shall be multiplied by a fraction of which the numerator shall be the number of Ordinary Shares or ADSs as applicable (excluding treasury Ordinary Shares, if any) outstanding immediately before such event and of which the denominator shall be the number of Ordinary Shares or ADSs, as applicable, outstanding immediately after such event, and the number of ADSs issuable upon exercise of this Warrant shall be proportionately adjusted such that the aggregate Exercise Price of this Warrant shall remain unchanged, provided that any reduction in the nominal value of the Ordinary Shares without any dividend or distribution shall not lead to any such adjustment and provided, further, that the Exercise Price cannot be adjusted to a price that is less than the nominal value of the Ordinary Shares.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exclusive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(including Ordinary Shares underlying the ADSs) are permitted to sell, tender or exchange their shares for other securities, cash or property and has been accepted by the holders of 50% or more of the outstanding Ordinary Shares (including Ordinary Shares underlying the ADSs) or 50% or more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50% or more of the outstanding Ordinary Shares (including Ordinary Shares underlying the ADSs) or 50% or more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represented by the Warrant ADSs that would have been issuable upon such exercise immediately prior to the occurrence of such Fundamental Transaction, at the option of the Holder (without regard to any limitation in Section 2(e) on the exercise of this Warrant), the number of shares of capital stock of the successor or acquiring corporation or of the Company, if the Company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xml:space="preserve">”) receivable as a result of such Fundamental Transaction by a holder of the number of Warrant Shares represented by the Warrant ADSs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(including any Warrant Shares underlying the ADSs),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(including Ordinary Shares underlying ADSs) of the Company in connection with the Fundamental Transaction, whether that consideration be in the form of cash, shares or any combination thereof, or whether the holders of Ordinary Shares (including Ordinary Shares underlying ADSs) are given the choice to receive from among alternative forms of consideration in connection with the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holders of Ordinary Shares (including any Ordinary Shares underlying ADSs) of the Company are not offered or paid any consideration in such Fundamental Transaction, such holders of Ordinary Shares (including any Ordinary Shares underlying ADSs) will be deemed to have received common equity of the Successor Entity (which Successor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Ordinary Share being offered in cash, if any, plus the value of any non-cash consideration, if any, being offered in such Fundamental Transaction and (ii)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3(b),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in accordance with the provisions of this Section 3(b)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Warrant Shares underlying the Warrant ADSs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underlying the Warrant ADSs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3(b) regardless of (i) whether the Company has sufficient authorized Ordinary Shares for the issuance of Warrant Shares represented by Warrant ADSs and/or (ii) whether a Fundamental Transaction occurs prior to the Initial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(including Ordinary Shares underlying ADSs, but excluding treasury shares, if any)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Ordinary Shares or ADSs,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share exchange or action is expected to become effective or close, and the date as of which it is expected that holders of the Ordinary Shares (including Warrant Shares underlying Warrant ADSs) of record shall be entitled to exchange their Ordinary Shares for securities, cash or other property deliverable upon such reclassification, consolidation, merger, sale, transfer, share exchange or action;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on Form 6-K.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take no action that would result in the Exercise Price per ADS being adjusted hereunder to less than twelve and one half (12.5) Danish Krone, the nominal amount per share of the Ordinary Shares for fifty (50) Ordinary Shares, as expressed in United States dollars at the applicable exchange rate published by the Danish National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subscription for Warrant ADSs without having a new Warrant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ADSs issuable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cash payments pursuant to Section 2(d)(i) and Section 2(d)(iv) herein, in no event shall the Company be required to net cash settle an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that the Warrant is outstanding, it shall allot a sufficient number of shares to provide for the issuance of the Warrant ADSs and the underlying Ordinary Shares upon the exercise of any subscription rights under this Warrant. The Company further covenants that its issuance of this Warrant shall constitute full authority to its officers who are charged with the duty of issuing the requisite Warrant Shares for the Depositary to issue the necessary Warrant ADSs upon the exercise of the subscription rights under this Warrant. The Company will take all such reasonable action as may be necessary to assure that such Warrant Shares and Warrant ADSs may be issued as provided herein without violation of any applicable law or regulation, or of any requirements of the Trading Market upon which the ADSs and/or Ordinary Shares may be listed. The Company covenants that all Warrant Shares represented by Warrant ADSs which may be issued upon the exercise of the subscription rights represented by this Warrant will, upon exercise of the subscription rights represented by this Warrant and payment for such Warrant ADSs in accordance herewith, be duly authorized, validly issued, fully paid and nonassessable and free from all taxes, liens and charges created by the Company in respect of the issue thereof (other than any taxes in respect of any transfer occurring contemporaneously with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nominal value of any Warrant Shares represented by Warrant ADSs above the amount payable therefor upon such exercise immediately prior to such increase in nominal value, (ii) take all such action as may be necessary or appropriate in order that the Company may validly and legally issue fully paid and nonassessable Warrant Shares represented by Warrant ADSs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Kingdom of Denmark,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hereto hereby irrevocably waives, to the fullest extent permitted by applicable law, any and all right to trial by jury in any legal proceeding arising out of or relating to this Warrant.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this Warrant,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represented by Warrant ADSs acquired upon the exercise of this Warrant, if not registered, will have restrictions upon resale imposed by state and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Dr. Neergaards Vej 5f, DK-2970 Hoersholm, Denmark, Attention: </w:t>
      </w:r>
      <w:r>
        <w:rPr>
          <w:rFonts w:ascii="Times New Roman;Times;Serif" w:hAnsi="Times New Roman;Times;Serif"/>
          <w:b/>
          <w:i w:val="false"/>
          <w:caps w:val="false"/>
          <w:smallCaps w:val="false"/>
          <w:sz w:val="20"/>
        </w:rPr>
        <w:t>: Flemming Pedersen and Susanne Bech, email addresses fap@evaxion-biotech.com and sbe@evaxion-biotech.com and investor@evaxion-biotech.com</w:t>
      </w:r>
      <w:r>
        <w:rPr>
          <w:rFonts w:ascii="Times New Roman;Times;Serif" w:hAnsi="Times New Roman;Times;Serif"/>
          <w:b w:val="false"/>
          <w:i w:val="false"/>
          <w:caps w:val="false"/>
          <w:smallCaps w:val="false"/>
          <w:sz w:val="20"/>
        </w:rPr>
        <w:t xml:space="preserve">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number or address of such Holder appearing on the books of the Company, or if no such email, number or address appears on the books of the Company, then to the most recent email, number or address such Holder has provided to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subscribe for Warrant ADSs, and no enumeration herein of the rights or privileges of the Holder, shall give rise to any liability of the Holder for the subscription price of any Warrant Shares or Warrant ADSs or as a shareholder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Company Acknowledgement; Notice of Successor Danish Counsel</w:t>
      </w:r>
      <w:r>
        <w:rPr>
          <w:rFonts w:ascii="Times New Roman;Times;Serif" w:hAnsi="Times New Roman;Times;Serif"/>
          <w:b w:val="false"/>
          <w:i w:val="false"/>
          <w:caps w:val="false"/>
          <w:smallCaps w:val="false"/>
          <w:sz w:val="20"/>
        </w:rPr>
        <w:t>. The Company acknowledges and agrees that the Holder’s payment of the aggregate Exercise Price to Company Danish Counsel in connection with any exercise hereunder shall be deemed to be the delivery by the Holder of the aggregate Exercise Price to the Company and shall satisfy the Holder’s obligations under this Warrant for the payment of the aggregate Exercise Price in connection with any exercise hereunder and shall require the Company to deliver the Warrant ADSs upon such exercise to the Holder pursuant to the terms hereunder. If the Company changes its Company Danish Counsel after the Initial Exercise Date, the Company shall promptly deliver notice of the successor Company Danish Counsel ((including the bank wire transfer instructions of such successor Company Danish Counsel) to the Holder (including, without limitation, any successor holder of this Warrant) on Company letterhead and executed by the Chief Executive Officer or Chief Financial Officer of the Company, with instructions in writing to pay the aggregate Exercise Price of this Warrant to such successor Company Danish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Reimbursement</w:t>
      </w:r>
      <w:r>
        <w:rPr>
          <w:rFonts w:ascii="Times New Roman;Times;Serif" w:hAnsi="Times New Roman;Times;Serif"/>
          <w:b w:val="false"/>
          <w:i w:val="false"/>
          <w:caps w:val="false"/>
          <w:smallCaps w:val="false"/>
          <w:sz w:val="20"/>
        </w:rPr>
        <w:t>. The Company shall reimburse the Holder for any fees charged to the Holder by the Depositary in connection with the issuance or holding or sale of the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left"/>
        <w:rPr>
          <w:caps w:val="false"/>
          <w:smallCaps w:val="false"/>
        </w:rPr>
      </w:pPr>
      <w:r>
        <w:rPr>
          <w:caps w:val="false"/>
          <w:smallCaps w:val="false"/>
        </w:rPr>
        <w:t> </w:t>
      </w:r>
    </w:p>
    <w:tbl>
      <w:tblPr>
        <w:tblW w:w="2855" w:type="dxa"/>
        <w:jc w:val="left"/>
        <w:tblInd w:w="0" w:type="dxa"/>
        <w:tblLayout w:type="fixed"/>
        <w:tblCellMar>
          <w:top w:w="0" w:type="dxa"/>
          <w:left w:w="0" w:type="dxa"/>
          <w:bottom w:w="0" w:type="dxa"/>
          <w:right w:w="0" w:type="dxa"/>
        </w:tblCellMar>
      </w:tblPr>
      <w:tblGrid>
        <w:gridCol w:w="60"/>
        <w:gridCol w:w="2795"/>
      </w:tblGrid>
      <w:tr>
        <w:trPr/>
        <w:tc>
          <w:tcPr>
            <w:tcW w:w="60" w:type="dxa"/>
            <w:tcBorders/>
            <w:vAlign w:val="center"/>
          </w:tcPr>
          <w:p>
            <w:pPr>
              <w:pStyle w:val="TableContents"/>
              <w:bidi w:val="0"/>
              <w:spacing w:before="0" w:after="283"/>
              <w:jc w:val="both"/>
              <w:rPr/>
            </w:pPr>
            <w:r>
              <w:rPr/>
              <w:t> </w:t>
            </w:r>
          </w:p>
        </w:tc>
        <w:tc>
          <w:tcPr>
            <w:tcW w:w="2795" w:type="dxa"/>
            <w:tcBorders/>
            <w:vAlign w:val="center"/>
          </w:tcPr>
          <w:p>
            <w:pPr>
              <w:pStyle w:val="TableContents"/>
              <w:bidi w:val="0"/>
              <w:spacing w:before="0" w:after="283"/>
              <w:jc w:val="both"/>
              <w:rPr>
                <w:b/>
              </w:rPr>
            </w:pPr>
            <w:r>
              <w:rPr>
                <w:b/>
              </w:rPr>
              <w:t>EVAXION BIOTECH A/S</w:t>
            </w:r>
          </w:p>
        </w:tc>
      </w:tr>
    </w:tbl>
    <w:p>
      <w:pPr>
        <w:pStyle w:val="TextBody"/>
        <w:bidi w:val="0"/>
        <w:spacing w:before="0" w:after="0"/>
        <w:ind w:left="0" w:right="0" w:hanging="0"/>
        <w:jc w:val="left"/>
        <w:rPr>
          <w:caps w:val="false"/>
          <w:smallCaps w:val="false"/>
        </w:rPr>
      </w:pPr>
      <w:r>
        <w:rPr>
          <w:caps w:val="false"/>
          <w:smallCaps w:val="false"/>
        </w:rPr>
        <w:t> </w:t>
      </w:r>
    </w:p>
    <w:tbl>
      <w:tblPr>
        <w:tblW w:w="709" w:type="dxa"/>
        <w:jc w:val="left"/>
        <w:tblInd w:w="0" w:type="dxa"/>
        <w:tblLayout w:type="fixed"/>
        <w:tblCellMar>
          <w:top w:w="0" w:type="dxa"/>
          <w:left w:w="0" w:type="dxa"/>
          <w:bottom w:w="0" w:type="dxa"/>
          <w:right w:w="0" w:type="dxa"/>
        </w:tblCellMar>
      </w:tblPr>
      <w:tblGrid>
        <w:gridCol w:w="60"/>
        <w:gridCol w:w="543"/>
        <w:gridCol w:w="106"/>
      </w:tblGrid>
      <w:tr>
        <w:trPr/>
        <w:tc>
          <w:tcPr>
            <w:tcW w:w="60" w:type="dxa"/>
            <w:tcBorders/>
            <w:vAlign w:val="center"/>
          </w:tcPr>
          <w:p>
            <w:pPr>
              <w:pStyle w:val="TableContents"/>
              <w:bidi w:val="0"/>
              <w:spacing w:before="0" w:after="283"/>
              <w:jc w:val="both"/>
              <w:rPr/>
            </w:pPr>
            <w:r>
              <w:rPr/>
              <w:t> </w:t>
            </w:r>
          </w:p>
        </w:tc>
        <w:tc>
          <w:tcPr>
            <w:tcW w:w="543" w:type="dxa"/>
            <w:tcBorders/>
            <w:vAlign w:val="center"/>
          </w:tcPr>
          <w:p>
            <w:pPr>
              <w:pStyle w:val="TableContents"/>
              <w:bidi w:val="0"/>
              <w:spacing w:before="0" w:after="283"/>
              <w:jc w:val="both"/>
              <w:rPr/>
            </w:pPr>
            <w:r>
              <w:rPr/>
              <w:t>By:</w:t>
            </w:r>
          </w:p>
        </w:tc>
        <w:tc>
          <w:tcPr>
            <w:tcW w:w="106"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649" w:type="dxa"/>
            <w:gridSpan w:val="2"/>
            <w:tcBorders/>
            <w:vAlign w:val="center"/>
          </w:tcPr>
          <w:p>
            <w:pPr>
              <w:pStyle w:val="TableContents"/>
              <w:bidi w:val="0"/>
              <w:spacing w:before="0" w:after="283"/>
              <w:jc w:val="both"/>
              <w:rPr/>
            </w:pPr>
            <w:r>
              <w:rPr/>
              <w:t>Name:</w:t>
            </w:r>
          </w:p>
        </w:tc>
      </w:tr>
      <w:tr>
        <w:trPr/>
        <w:tc>
          <w:tcPr>
            <w:tcW w:w="60" w:type="dxa"/>
            <w:tcBorders/>
            <w:vAlign w:val="center"/>
          </w:tcPr>
          <w:p>
            <w:pPr>
              <w:pStyle w:val="TableContents"/>
              <w:bidi w:val="0"/>
              <w:spacing w:before="0" w:after="283"/>
              <w:jc w:val="both"/>
              <w:rPr/>
            </w:pPr>
            <w:r>
              <w:rPr/>
              <w:t> </w:t>
            </w:r>
          </w:p>
        </w:tc>
        <w:tc>
          <w:tcPr>
            <w:tcW w:w="649" w:type="dxa"/>
            <w:gridSpan w:val="2"/>
            <w:tcBorders/>
            <w:vAlign w:val="center"/>
          </w:tcPr>
          <w:p>
            <w:pPr>
              <w:pStyle w:val="TableContents"/>
              <w:bidi w:val="0"/>
              <w:spacing w:before="0" w:after="283"/>
              <w:jc w:val="both"/>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To:          </w:t>
      </w:r>
      <w:r>
        <w:rPr>
          <w:rFonts w:ascii="Times New Roman;Times;Serif" w:hAnsi="Times New Roman;Times;Serif"/>
          <w:b/>
          <w:i w:val="false"/>
          <w:caps/>
          <w:sz w:val="20"/>
        </w:rPr>
        <w:t>EVAXION BIOTECH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be in lawful money of the United States pursuant to the following bank wire transfer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Name</w:t>
      </w:r>
      <w:r>
        <w:rPr>
          <w:rFonts w:ascii="Times New Roman;Times;Serif" w:hAnsi="Times New Roman;Times;Serif"/>
          <w:b w:val="false"/>
          <w:i w:val="false"/>
          <w:caps w:val="false"/>
          <w:smallCaps w:val="false"/>
          <w:sz w:val="20"/>
        </w:rPr>
        <w:t>: Danske Bank</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Address</w:t>
      </w:r>
      <w:r>
        <w:rPr>
          <w:rFonts w:ascii="Times New Roman;Times;Serif" w:hAnsi="Times New Roman;Times;Serif"/>
          <w:b w:val="false"/>
          <w:i w:val="false"/>
          <w:caps w:val="false"/>
          <w:smallCaps w:val="false"/>
          <w:sz w:val="20"/>
        </w:rPr>
        <w:t>: Holmens Kanal 2, 1092 Copenhagen K, Denmark</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Account Name</w:t>
      </w:r>
      <w:r>
        <w:rPr>
          <w:rFonts w:ascii="Times New Roman;Times;Serif" w:hAnsi="Times New Roman;Times;Serif"/>
          <w:b w:val="false"/>
          <w:i w:val="false"/>
          <w:caps w:val="false"/>
          <w:smallCaps w:val="false"/>
          <w:sz w:val="20"/>
        </w:rPr>
        <w:t>: Mazanti-Andersen main client account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Account Number</w:t>
      </w:r>
      <w:r>
        <w:rPr>
          <w:rFonts w:ascii="Times New Roman;Times;Serif" w:hAnsi="Times New Roman;Times;Serif"/>
          <w:b w:val="false"/>
          <w:i w:val="false"/>
          <w:caps w:val="false"/>
          <w:smallCaps w:val="false"/>
          <w:sz w:val="20"/>
        </w:rPr>
        <w:t>: 4777175572</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IBAN</w:t>
      </w:r>
      <w:r>
        <w:rPr>
          <w:rFonts w:ascii="Times New Roman;Times;Serif" w:hAnsi="Times New Roman;Times;Serif"/>
          <w:b w:val="false"/>
          <w:i w:val="false"/>
          <w:caps w:val="false"/>
          <w:smallCaps w:val="false"/>
          <w:sz w:val="20"/>
        </w:rPr>
        <w:t>: DK7130004777175572</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SWIFT-BIC</w:t>
      </w:r>
      <w:r>
        <w:rPr>
          <w:rFonts w:ascii="Times New Roman;Times;Serif" w:hAnsi="Times New Roman;Times;Serif"/>
          <w:b w:val="false"/>
          <w:i w:val="false"/>
          <w:caps w:val="false"/>
          <w:smallCaps w:val="false"/>
          <w:sz w:val="20"/>
        </w:rPr>
        <w:t>: DABADKKK</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Reference</w:t>
      </w:r>
      <w:r>
        <w:rPr>
          <w:rFonts w:ascii="Times New Roman;Times;Serif" w:hAnsi="Times New Roman;Times;Serif"/>
          <w:b w:val="false"/>
          <w:i w:val="false"/>
          <w:caps w:val="false"/>
          <w:smallCaps w:val="false"/>
          <w:sz w:val="20"/>
        </w:rPr>
        <w:t>: Evaxion Biotech A/S</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Contact Person and Telephone Number</w:t>
      </w:r>
      <w:r>
        <w:rPr>
          <w:rFonts w:ascii="Times New Roman;Times;Serif" w:hAnsi="Times New Roman;Times;Serif"/>
          <w:b w:val="false"/>
          <w:i w:val="false"/>
          <w:caps w:val="false"/>
          <w:smallCaps w:val="false"/>
          <w:sz w:val="20"/>
        </w:rPr>
        <w:t>: Lars Lüthjohan. Ph. no.: +4540283536 E-mail: LLJ@mazanti.dk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 name and number: 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DTC Participant: 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of DTC Participant Contact: 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3170"/>
        <w:gridCol w:w="1295"/>
      </w:tblGrid>
      <w:tr>
        <w:trPr/>
        <w:tc>
          <w:tcPr>
            <w:tcW w:w="3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2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283"/>
              <w:jc w:val="both"/>
              <w:rPr/>
            </w:pPr>
            <w:r>
              <w:rPr/>
              <w:t> </w:t>
            </w:r>
          </w:p>
        </w:tc>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(Please Print)</w:t>
            </w:r>
          </w:p>
        </w:tc>
      </w:tr>
      <w:tr>
        <w:trPr/>
        <w:tc>
          <w:tcPr>
            <w:tcW w:w="3170" w:type="dxa"/>
            <w:tcBorders/>
            <w:vAlign w:val="center"/>
          </w:tcPr>
          <w:p>
            <w:pPr>
              <w:pStyle w:val="TableContents"/>
              <w:bidi w:val="0"/>
              <w:spacing w:before="0" w:after="283"/>
              <w:jc w:val="both"/>
              <w:rPr/>
            </w:pPr>
            <w:r>
              <w:rPr/>
              <w:t> </w:t>
            </w:r>
          </w:p>
        </w:tc>
        <w:tc>
          <w:tcPr>
            <w:tcW w:w="1295" w:type="dxa"/>
            <w:tcBorders/>
            <w:vAlign w:val="center"/>
          </w:tcPr>
          <w:p>
            <w:pPr>
              <w:pStyle w:val="TableContents"/>
              <w:bidi w:val="0"/>
              <w:spacing w:before="0" w:after="283"/>
              <w:jc w:val="both"/>
              <w:rPr/>
            </w:pPr>
            <w:r>
              <w:rPr/>
              <w:t> </w:t>
            </w:r>
          </w:p>
        </w:tc>
      </w:tr>
      <w:tr>
        <w:trPr/>
        <w:tc>
          <w:tcPr>
            <w:tcW w:w="3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w:t>
            </w:r>
          </w:p>
        </w:tc>
        <w:tc>
          <w:tcPr>
            <w:tcW w:w="12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(Please Print)</w:t>
            </w:r>
          </w:p>
        </w:tc>
      </w:tr>
      <w:tr>
        <w:trPr/>
        <w:tc>
          <w:tcPr>
            <w:tcW w:w="317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color w:val="000000"/>
              </w:rPr>
            </w:pPr>
            <w:r>
              <w:rPr>
                <w:color w:val="000000"/>
              </w:rPr>
              <w:t>Phone Number:</w:t>
            </w:r>
          </w:p>
        </w:tc>
        <w:tc>
          <w:tcPr>
            <w:tcW w:w="12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color w:val="000000"/>
              </w:rPr>
            </w:pPr>
            <w:r>
              <w:rPr>
                <w:color w:val="000000"/>
              </w:rPr>
              <w:t>Email Address:</w:t>
            </w:r>
          </w:p>
        </w:tc>
        <w:tc>
          <w:tcPr>
            <w:tcW w:w="129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170" w:type="dxa"/>
            <w:tcBorders/>
            <w:vAlign w:val="center"/>
          </w:tcPr>
          <w:p>
            <w:pPr>
              <w:pStyle w:val="TableContents"/>
              <w:bidi w:val="0"/>
              <w:spacing w:before="0" w:after="283"/>
              <w:jc w:val="both"/>
              <w:rPr/>
            </w:pPr>
            <w:r>
              <w:rPr/>
              <w:t> </w:t>
            </w:r>
          </w:p>
        </w:tc>
        <w:tc>
          <w:tcPr>
            <w:tcW w:w="1295" w:type="dxa"/>
            <w:tcBorders/>
            <w:vAlign w:val="center"/>
          </w:tcPr>
          <w:p>
            <w:pPr>
              <w:pStyle w:val="TableContents"/>
              <w:bidi w:val="0"/>
              <w:spacing w:before="0" w:after="283"/>
              <w:jc w:val="both"/>
              <w:rPr/>
            </w:pPr>
            <w:r>
              <w:rPr/>
              <w:t> </w:t>
            </w:r>
          </w:p>
        </w:tc>
      </w:tr>
      <w:tr>
        <w:trPr/>
        <w:tc>
          <w:tcPr>
            <w:tcW w:w="3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 _______________ __, ______</w:t>
            </w:r>
          </w:p>
        </w:tc>
        <w:tc>
          <w:tcPr>
            <w:tcW w:w="1295" w:type="dxa"/>
            <w:tcBorders/>
            <w:vAlign w:val="center"/>
          </w:tcPr>
          <w:p>
            <w:pPr>
              <w:pStyle w:val="TableContents"/>
              <w:bidi w:val="0"/>
              <w:spacing w:before="0" w:after="283"/>
              <w:jc w:val="both"/>
              <w:rPr/>
            </w:pPr>
            <w:r>
              <w:rPr/>
              <w:t> </w:t>
            </w:r>
          </w:p>
        </w:tc>
      </w:tr>
      <w:tr>
        <w:trPr/>
        <w:tc>
          <w:tcPr>
            <w:tcW w:w="3170" w:type="dxa"/>
            <w:tcBorders/>
            <w:vAlign w:val="center"/>
          </w:tcPr>
          <w:p>
            <w:pPr>
              <w:pStyle w:val="TableContents"/>
              <w:bidi w:val="0"/>
              <w:spacing w:before="0" w:after="283"/>
              <w:jc w:val="both"/>
              <w:rPr/>
            </w:pPr>
            <w:r>
              <w:rPr/>
              <w:t> </w:t>
            </w:r>
          </w:p>
        </w:tc>
        <w:tc>
          <w:tcPr>
            <w:tcW w:w="1295" w:type="dxa"/>
            <w:tcBorders/>
            <w:vAlign w:val="center"/>
          </w:tcPr>
          <w:p>
            <w:pPr>
              <w:pStyle w:val="TableContents"/>
              <w:bidi w:val="0"/>
              <w:spacing w:before="0" w:after="283"/>
              <w:jc w:val="both"/>
              <w:rPr/>
            </w:pPr>
            <w:r>
              <w:rPr/>
              <w:t> </w:t>
            </w:r>
          </w:p>
        </w:tc>
      </w:tr>
      <w:tr>
        <w:trPr/>
        <w:tc>
          <w:tcPr>
            <w:tcW w:w="3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Signature:</w:t>
            </w:r>
            <w:r>
              <w:rPr>
                <w:rFonts w:ascii="Times New Roman;Times;Serif" w:hAnsi="Times New Roman;Times;Serif"/>
                <w:sz w:val="20"/>
                <w:u w:val="single"/>
              </w:rPr>
              <w:t>                                               </w:t>
            </w:r>
          </w:p>
        </w:tc>
        <w:tc>
          <w:tcPr>
            <w:tcW w:w="1295" w:type="dxa"/>
            <w:tcBorders/>
            <w:vAlign w:val="center"/>
          </w:tcPr>
          <w:p>
            <w:pPr>
              <w:pStyle w:val="TableContents"/>
              <w:bidi w:val="0"/>
              <w:spacing w:before="0" w:after="283"/>
              <w:jc w:val="both"/>
              <w:rPr/>
            </w:pPr>
            <w:r>
              <w:rPr/>
              <w:t> </w:t>
            </w:r>
          </w:p>
        </w:tc>
      </w:tr>
      <w:tr>
        <w:trPr/>
        <w:tc>
          <w:tcPr>
            <w:tcW w:w="3170" w:type="dxa"/>
            <w:tcBorders/>
            <w:vAlign w:val="center"/>
          </w:tcPr>
          <w:p>
            <w:pPr>
              <w:pStyle w:val="TableContents"/>
              <w:bidi w:val="0"/>
              <w:spacing w:before="0" w:after="283"/>
              <w:jc w:val="both"/>
              <w:rPr/>
            </w:pPr>
            <w:r>
              <w:rPr/>
              <w:t> </w:t>
            </w:r>
          </w:p>
        </w:tc>
        <w:tc>
          <w:tcPr>
            <w:tcW w:w="1295" w:type="dxa"/>
            <w:tcBorders/>
            <w:vAlign w:val="center"/>
          </w:tcPr>
          <w:p>
            <w:pPr>
              <w:pStyle w:val="TableContents"/>
              <w:bidi w:val="0"/>
              <w:spacing w:before="0" w:after="283"/>
              <w:jc w:val="both"/>
              <w:rPr/>
            </w:pPr>
            <w:r>
              <w:rPr/>
              <w:t> </w:t>
            </w:r>
          </w:p>
        </w:tc>
      </w:tr>
      <w:tr>
        <w:trPr/>
        <w:tc>
          <w:tcPr>
            <w:tcW w:w="3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Address:</w:t>
            </w:r>
            <w:r>
              <w:rPr>
                <w:rFonts w:ascii="Times New Roman;Times;Serif" w:hAnsi="Times New Roman;Times;Serif"/>
                <w:sz w:val="20"/>
                <w:u w:val="single"/>
              </w:rPr>
              <w:t>                                                 </w:t>
            </w:r>
          </w:p>
        </w:tc>
        <w:tc>
          <w:tcPr>
            <w:tcW w:w="1295" w:type="dxa"/>
            <w:tcBorders/>
            <w:vAlign w:val="center"/>
          </w:tcPr>
          <w:p>
            <w:pPr>
              <w:pStyle w:val="TableContents"/>
              <w:bidi w:val="0"/>
              <w:spacing w:before="0" w:after="283"/>
              <w:jc w:val="both"/>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TO SUBSCRIBE FOR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REPRESENTED BY 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EVAXION A/S</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220"/>
        <w:gridCol w:w="60"/>
        <w:gridCol w:w="60"/>
        <w:gridCol w:w="2870"/>
      </w:tblGrid>
      <w:tr>
        <w:trPr/>
        <w:tc>
          <w:tcPr>
            <w:tcW w:w="1220" w:type="dxa"/>
            <w:tcBorders/>
            <w:vAlign w:val="center"/>
          </w:tcPr>
          <w:p>
            <w:pPr>
              <w:pStyle w:val="TableContents"/>
              <w:bidi w:val="0"/>
              <w:spacing w:before="0" w:after="283"/>
              <w:jc w:val="left"/>
              <w:rPr>
                <w:sz w:val="20"/>
              </w:rPr>
            </w:pPr>
            <w:r>
              <w:rPr>
                <w:sz w:val="20"/>
              </w:rPr>
              <w:t>Warrant ADSs: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Initial Exercise Date: [ ],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TO SUBSCRIBE FOR ORDINARY SHARES REPRESENTED BY AMERICAN DEPOSITARY SHARES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 ], 2035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Evaxion A/S, , company registration (CVR) no. 31 76 28 63, a public limited liability company incorporated under the laws of the Kingdom of Denmark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38,450,000 Ordinary Shares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represented by 769,000 ADSs (the “</w:t>
      </w:r>
      <w:r>
        <w:rPr>
          <w:rFonts w:ascii="Times New Roman;Times;Serif" w:hAnsi="Times New Roman;Times;Serif"/>
          <w:b w:val="false"/>
          <w:i w:val="false"/>
          <w:caps w:val="false"/>
          <w:smallCaps w:val="false"/>
          <w:sz w:val="20"/>
          <w:u w:val="single"/>
        </w:rPr>
        <w:t>Warrant ADSs</w:t>
      </w:r>
      <w:r>
        <w:rPr>
          <w:rFonts w:ascii="Times New Roman;Times;Serif" w:hAnsi="Times New Roman;Times;Serif"/>
          <w:b w:val="false"/>
          <w:i w:val="false"/>
          <w:caps w:val="false"/>
          <w:smallCaps w:val="false"/>
          <w:sz w:val="20"/>
        </w:rPr>
        <w:t>”), as subject to adjustment hereunder. The subscription price of one Warrant Share under this Warrant shall be DKK 0.25, as regulated in Section 2(b),while the subscription price of one Warrant ADS under this Warrant shall be equal to the Exercise Price, as defined in Section 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Warrant, the following terms have the meanings indicated in this Section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means American Depositary Shares issued pursuant to the Deposit Agreement, each representing fifty (50)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the Person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or national holiday in the United States, Luxembourg or Denmark or any day on which banking institutions in the State of New York, Luxembourg or Denmark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Luxembourg City, Luxembourg and Copenhagen, Denmark are generally open for use by customers on such day or other governmental action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Danish Counsel</w:t>
      </w:r>
      <w:r>
        <w:rPr>
          <w:rFonts w:ascii="Times New Roman;Times;Serif" w:hAnsi="Times New Roman;Times;Serif"/>
          <w:b w:val="false"/>
          <w:i w:val="false"/>
          <w:caps w:val="false"/>
          <w:smallCaps w:val="false"/>
          <w:sz w:val="20"/>
        </w:rPr>
        <w:t>” means Mazanti-Andersen Advokatpartnerselskab, company registration (CVR) no. 35 89 20 52, Amaliegade 10 1256 Copenhagen K, Denmark, or any successor Danish counsel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means the Deposit Agreement, dated as of February 4, 2021, among the Company, The Bank of New York Mellon as Depositary and the owners and holders of ADSs from time to time, as such agreement may be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The Bank of New York Mellon and any successor depositary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DWAC” means the Deposit/Withdrawal At Custodian system of The Depository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Options</w:t>
      </w:r>
      <w:r>
        <w:rPr>
          <w:rFonts w:ascii="Times New Roman;Times;Serif" w:hAnsi="Times New Roman;Times;Serif"/>
          <w:b w:val="false"/>
          <w:i w:val="false"/>
          <w:caps w:val="false"/>
          <w:smallCaps w:val="false"/>
          <w:sz w:val="20"/>
        </w:rPr>
        <w:t>” means any warrants or other rights or options to subscribe for or purchase Ordinary Share or Ordinary Shares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ordinary shares of the Company, DKK 0.25 nominal value per share,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 Equivalent</w:t>
      </w:r>
      <w:r>
        <w:rPr>
          <w:rFonts w:ascii="Times New Roman;Times;Serif" w:hAnsi="Times New Roman;Times;Serif"/>
          <w:b w:val="false"/>
          <w:i w:val="false"/>
          <w:caps w:val="false"/>
          <w:smallCaps w:val="false"/>
          <w:sz w:val="20"/>
        </w:rPr>
        <w:t>” means any securities (directly or indirectly) convertible into or exercisable or exchangeable for Ordinary Shares, but excluding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Ordinary Shares and/or ADSs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Computershare A/S, being the current transfer agent of the Company, with a mailing address of Lottenborgvej 26 D, 1., DK-2800 Kgs. Lyngby, Denmark and company registration number (CVR) no. 27088899,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L.P. (based on a Trading Day from 9:30 a.m. (New York City time) to 4:02 p.m. (New York City time)), (b) if OTCQB Venture Market (“</w:t>
      </w:r>
      <w:r>
        <w:rPr>
          <w:rFonts w:ascii="Times New Roman;Times;Serif" w:hAnsi="Times New Roman;Times;Serif"/>
          <w:b w:val="false"/>
          <w:i w:val="false"/>
          <w:caps w:val="false"/>
          <w:smallCaps w:val="false"/>
          <w:sz w:val="20"/>
          <w:u w:val="single"/>
        </w:rPr>
        <w:t>OTCQB</w:t>
      </w:r>
      <w:r>
        <w:rPr>
          <w:rFonts w:ascii="Times New Roman;Times;Serif" w:hAnsi="Times New Roman;Times;Serif"/>
          <w:b w:val="false"/>
          <w:i w:val="false"/>
          <w:caps w:val="false"/>
          <w:smallCaps w:val="false"/>
          <w:sz w:val="20"/>
        </w:rPr>
        <w:t>”) or OTCQX Best Market (“</w:t>
      </w:r>
      <w:r>
        <w:rPr>
          <w:rFonts w:ascii="Times New Roman;Times;Serif" w:hAnsi="Times New Roman;Times;Serif"/>
          <w:b w:val="false"/>
          <w:i w:val="false"/>
          <w:caps w:val="false"/>
          <w:smallCaps w:val="false"/>
          <w:sz w:val="20"/>
          <w:u w:val="single"/>
        </w:rPr>
        <w:t>OTCQX</w:t>
      </w:r>
      <w:r>
        <w:rPr>
          <w:rFonts w:ascii="Times New Roman;Times;Serif" w:hAnsi="Times New Roman;Times;Serif"/>
          <w:b w:val="false"/>
          <w:i w:val="false"/>
          <w:caps w:val="false"/>
          <w:smallCaps w:val="false"/>
          <w:sz w:val="20"/>
        </w:rPr>
        <w:t>”) is not a Trading Market, the volume weighted average price of the ADSs for such date (or the nearest preceding date) on OTCQB or OTCQX as applicable, (c) if the ADSs are not then listed or quoted for trading on OTCQB or OTCQX and if prices for the ADSs are then reported in the “Pink” Open Market (“</w:t>
      </w:r>
      <w:r>
        <w:rPr>
          <w:rFonts w:ascii="Times New Roman;Times;Serif" w:hAnsi="Times New Roman;Times;Serif"/>
          <w:b w:val="false"/>
          <w:i w:val="false"/>
          <w:caps w:val="false"/>
          <w:smallCaps w:val="false"/>
          <w:sz w:val="20"/>
          <w:u w:val="single"/>
        </w:rPr>
        <w:t>Pink Market</w:t>
      </w:r>
      <w:r>
        <w:rPr>
          <w:rFonts w:ascii="Times New Roman;Times;Serif" w:hAnsi="Times New Roman;Times;Serif"/>
          <w:b w:val="false"/>
          <w:i w:val="false"/>
          <w:caps w:val="false"/>
          <w:smallCaps w:val="false"/>
          <w:sz w:val="20"/>
        </w:rPr>
        <w:t>”) operated by OTC Markets, Inc. (or a similar organization or agency succeeding to its functions of reporting prices), the most recent bid price per ADS so reported, or (d) in all other cases, the fair market value of an ADS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This Warrant may be exercised,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On the Trading Day (based on New York City time) on which the delivery of the Notice of Exercise occurs, the Holder shall deliver to the Company Danish Counsel the aggregate Exercise Price for the Warrant ADSs specified in the applicable Notice of Exercise by wire transfer to the Company Danish Counsel pursuant to the bank wire transfer instructions set forth on the Notice of Exercise attached hereto.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Partial exercises of this Warrant resulting in the subscription of a portion of the total number of Warrant ADSs available hereunder shall have the effect of reducing the outstanding number of Warrant ADSs purchasable hereunder in an amount equal to the applicable number of Warrant ADSs subscribed. The Company shall record the number of Warrants issued to the Holder and the number of Warrant ADSs subscribed through exercise and the date of such subscription of the Warrant ADSs. The Company shall deliver any objection to any Notice of Exercise within one (1) Trading Day of receipt of such notice. The Holder and any assignee, by acceptance of this Warrant, acknowledge and agree that, by reason of the provisions of this paragraph, following the subscription for a portion of the Warrant ADSs hereunder, the number of Warrant ADSs available for subscription hereunder at any given time may be less than the amount stated on the face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Warrant Share of nominally DKK 0.25 under this Warrant shall be DKK 0.25, corresponding to DKK 0.25 per Ordinary Share of nominally DKK 0.25, equal to an exercise price per Warrant ADS of DKK 12.50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Issue of Warrant Shares in connection with Exercise.</w:t>
      </w:r>
      <w:r>
        <w:rPr>
          <w:rFonts w:ascii="Times New Roman;Times;Serif" w:hAnsi="Times New Roman;Times;Serif"/>
          <w:b w:val="false"/>
          <w:i w:val="false"/>
          <w:caps w:val="false"/>
          <w:smallCaps w:val="false"/>
          <w:sz w:val="20"/>
        </w:rPr>
        <w:t xml:space="preserve"> Upon the receipt by the Company of a Notice of Exercise and the Exercise Price, the Company shall carry out the increase of the Company's share capital reflecting the exercise of Warrants and shall ensure and procure that the resolution is duly registered with the Danish Business Authority in accordance with applicable law no later than five (5) Business Days after the delivery of the Notice of Exercise. The following terms and conditions shall apply to the new Warrant Shares issued by the exercise of Warrants in accordance with this Appendix 12 to the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maximum nominal value of the capital increase resulting from an exercise of Warrants will be nominally DKK 9,612,500, and the minimum will be nominally DKK 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new Warrant Shares shall be subscribed for and issued without pre-emption rights for the Company's existing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new Warrant Shares shall be subscribed for in cash and paid in full upon exercise in accordance with the above, whereby payment of the aggregate Exercise Price shall be made in full on the Trading Day (based on New York City time) on which the delivery of the Notice of Exercise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new Warrant Shares shall be non-negotiable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new Warrant Shares shall be registered in the name of the Holder in the Company's share register on the date of registration of the capital increase with the Danish Business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new Warrant Shares will not be subject to any re-strictions in the pre-emption rights in connection with future capital increases;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new Warrant Shares shall be entitled to dividends, and other rights in the Company according to the provisions in the Company’s Articles of Association, from the date of the registration of the capital increase with the Danish Business Authority;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new Warrant Shares shall carry the same rights as the existing Ordinary Shares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shall procure and ensure that an effective registration statement is made available for the sale of all Warrant Shares in accordance with that certain Registration Rights Agreement, dated on or about the date hereof, entered into between the Company and the Holder. In the event that this obligation is breached, the Company shall pay to the Holder, in cash, damages for any documented direct loss suffered by the Holder as a result of such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Delivery of Warrant ADSs Upon Exercise</w:t>
      </w:r>
      <w:r>
        <w:rPr>
          <w:rFonts w:ascii="Times New Roman;Times;Serif" w:hAnsi="Times New Roman;Times;Serif"/>
          <w:b w:val="false"/>
          <w:i w:val="false"/>
          <w:caps w:val="false"/>
          <w:smallCaps w:val="false"/>
          <w:sz w:val="20"/>
        </w:rPr>
        <w:t>. Upon the exercise of this Warrant, the Company shall enter the Warrant Shares in the name of the Holder in the Company’s share register and then transfer into the name of the Depositary, deposit the Warrant Shares in connection with such exercise with the Depositary for the ADSs, and instruct the Depositary to credit the account of the Holder in book entry format at the Depositary bearing the restrictive legend in Section 5. If eligible, the Depositary may credit the account of the Holder’s or its designee’s balance account with The Depository Trust Company through DWAC if the Depositary is then a participant in such system and there is an effective registration statement with a current prospectus registering for resale of the Warrant Shares represented by the Warrant ADSs by the Holder and the Depositary shall have received from Holder a confirmation of sale thereof, by the date that is the later of (i) five (5) Trading Days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ADS Delivery Date</w:t>
      </w:r>
      <w:r>
        <w:rPr>
          <w:rFonts w:ascii="Times New Roman;Times;Serif" w:hAnsi="Times New Roman;Times;Serif"/>
          <w:b w:val="false"/>
          <w:i w:val="false"/>
          <w:caps w:val="false"/>
          <w:smallCaps w:val="false"/>
          <w:sz w:val="20"/>
        </w:rPr>
        <w:t>”), provided that the Company shall not be obligated to deliver the Warrant ADSs hereunder unless the Company Danish Counsel has received the aggregate Exercise Price on or before the Trading Day (based on New York City time) immediately prior to the Warrant ADS Delivery Date. If the Company fails for any reason to cause the Depositary to deliver to the Holder the Warrant ADSs subject to a Notice of Exercise by the Warrant ADS Delivery Date, and the resulting delay in delivery is attributable to the negligence of the Company, the Company shall pay to the Holder, in cash, damages for any documented direct loss suffered by the Holder as a result of the delay in delivery. The Company agrees to maintain a depositary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ADSs as in effect on the date of delivery of the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Depositary to transmit to the Holder the Warrant ADSs pursuant to Section 2(e)(i) by the Warrant ADS Delivery Date, then the Holder will have the right to rescind such exercise prior to the delivery of such Warrant ADSs hereunder (with the effect that the Holder’s right to acquire such Warrant ADSs pursuant to this Warrant shall be restored) and the Company shall return to the Holder the aggregate Exercise Price paid to the Company Danish Counsel for such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Compensation for Buy-In on Failure to Timely Delivery Warrant ADSs upon Exercise</w:t>
      </w:r>
      <w:r>
        <w:rPr>
          <w:rFonts w:ascii="Times New Roman;Times;Serif" w:hAnsi="Times New Roman;Times;Serif"/>
          <w:b w:val="false"/>
          <w:i w:val="false"/>
          <w:caps w:val="false"/>
          <w:smallCaps w:val="false"/>
          <w:sz w:val="20"/>
        </w:rPr>
        <w:t>. In addition to any other rights available to the Holder, if the Depositary fails to deliver to the Holder the Warrant ADSs in accordance with the provisions of Section 2(e)(i) above (and such failure is attributable to the negligence of the Company)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“Buy-In”), then the Company shall pay to the Holder, in cash, damages for any documented direct loss suffered by the Holder as a result of such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No Fractional Ordinary Shares or Warrant ADSs</w:t>
      </w:r>
      <w:r>
        <w:rPr>
          <w:rFonts w:ascii="Times New Roman;Times;Serif" w:hAnsi="Times New Roman;Times;Serif"/>
          <w:b w:val="false"/>
          <w:i w:val="false"/>
          <w:caps w:val="false"/>
          <w:smallCaps w:val="false"/>
          <w:sz w:val="20"/>
        </w:rPr>
        <w:t>. No fractional Warrant Shares or Warrant ADSs shall be issued upon the exercise of this Warrant. As to any fraction of a Warrant ADS which the Holder would otherwise be entitled to subscribe upon such exercise, the Company shall, at its election, either pay a cash adjustment in respect of such final fraction in an amount equal to such fraction multiplied by the Exercise Price or round up to the next whole ADS, provided that the fraction of an ADS shall not be rounded up to the next whole ADS if such rounding would result in the issue price being lower than the nominal value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ADSs shall be made without charge to the Holder for any issue or transfer tax or other incidental expense in respect of the issuance of such Warrant ADSs, all of which taxes and expenses shall be paid by the Company, and such Warrant ADSs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ADSs are to be issued in a name other than the name of the Holder, the applicable Notice of Exercise shall be accompanied by the Assignment Form attached hereto duly executed by the Holder and the Company may require, as a condition thereto, the payment of a sum sufficient to reimburse it for any transfer tax incidental thereto. The Company shall pay all Depositary and Transfer Agent fees required for same-day processing of any Notice of Exercise and all fees to the Depository Trust Company (or another established clearing corporation performing similar functions) required for same-day electronic issuance and delivery of the Warrant ADSs. The Company shall pay all applicable fees and expenses of the Depositary and Transfer Agent in connection with the issuance of the Warrants ADSs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underlying such Warrant ADSs issuable upon exercise of this Warrant with respect to which such determination is being made, but shall exclude the number of Ordinary Shares underlying Warrant ADSs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2(f),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2(f)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2(f), in determining the number of outstanding Ordinary Shares, a Holder may rely on the number of outstanding Ordinary Shares as reflected in (A) the Company’s most recent annual report on Form 20-F, Report on Form 6-K or other public filings filed with the Commission, as the case may be, (B) a more recent public announcement by the Company or (C) a more recent written notice by the Company or the Depositary or the Transfer Agent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4.99%of the number of Ordinary Shares outstanding immediately after giving effect to the issuance of the Ordinary Shares issuable upon exercise of this Warrant. The Holder, upon notice to the Company, may increase or decrease the Beneficial Ownership Limitation provisions of this Section 2(f), provided that the Beneficial Ownership Limitation in no event exceeds 19.99% of the number of Ordinary Shares outstanding immediately after giving effect to the issuance of Ordinary Shares upon exercise of this Warrant held by the Holder and the provisions of this Section 2(f)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to the contrary herein, if and as required, prior to obtaining stockholder approval as required by the rules of the applicable Trading Market, the Company shall not be required to effect any exercise of the Warrants, , pursuant to this Section 2(f) or otherwise, if the Company determines in good faith that such exercise would result in requiring a vote of the Company’s stockholders pursuant to the applicable rules of the Trading Market, including, without limitation because such exercise (1) would result in the Holder and its Affiliates and Attribution Parties beneficially owning (x) in excess of 19.99% of the number of Ordinary Shares outstanding immediately after giving effect to the issuance of Ordinary Shares upon exercise of the Warrants and (y) the largest ownership position in the Company, or (2) would otherwise result in a “change of control” of the Company as defined under the rules of the 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transfer of this Warrant, in whole or in part, by the initial Holder hereof to any subsequent Holder, the provisions of this Section 2(f) shall no longer apply to this Warrant (or, in the case of a transfer in part, such part of this Warrant) as of the date of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its ADSs or Ordinary Shares or any other equity or equity equivalent securities payable in ADSs or Ordinary Shares (which, for avoidance of doubt, shall not include any Warrant Shares or Warrant ADSs issued by the Company upon exercise of this Warrant), (ii) subdivides outstanding Ordinary Shares or ADSs into a larger number of Ordinary Shares or ADSs, as applicable, (iii) combines (including by way of reverse share split) outstanding ADSs or Ordinary Shares into a smaller number of Ordinary Shares or ADSs, as applicable, or (iv) issues by reclassification of ADSs, Ordinary Shares or any shares of capital stock of the Company, then in each case the Exercise Price shall be multiplied by a fraction of which the numerator shall be the number of Ordinary Shares or ADSs as applicable (excluding treasury Ordinary Shares, if any) outstanding immediately before such event and of which the denominator shall be the number of Ordinary Shares or ADSs, as applicable, outstanding immediately after such event, and the number of Warrant Shares and the number of ADSs issuable upon exercise of this Warrant shall be proportionately adjusted such that the aggregate Exercise Price of this Warrant shall remain unchanged, provided that any reduction in the nominal value of the Ordinary Shares without any dividend or distribution shall not lead to any such adjustment and provided, further, that the Exercise Price cannot be adjusted to a price that is less than the nominal value of the Ordinary Shares, whereby any adjustment shall in such case solely be carried out by adjusting the number of Warrant Shares and the number of ADSs issuable upon exercise of this Warrant.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exclusive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(including Ordinary Shares underlying the ADSs) are permitted to sell, tender or exchange their shares for other securities, cash or property and has been accepted by the holders of 50% or more of the outstanding Ordinary Shares (including Ordinary Shares underlying the ADSs) or 50% or more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demerger, merger or scheme of arrangement) with another Person or group of Persons whereby such other Person or group acquires 50% or more of the outstanding Ordinary Shares (including Ordinary Shares underlying the ADSs) or 50% or more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represented by the Warrant ADSs that would have been issuable upon such exercise immediately prior to the occurrence of such Fundamental Transaction, at the option of the Holder (without regard to any limitation in Section 2(f) on the exercise of this Warrant), the number of shares of capital stock of the successor or acquiring corporation or of the Company, if the Company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xml:space="preserve">”) receivable as a result of such Fundamental Transaction by a holder of the number of Warrant Shares represented by the Warrant ADSs for which this Warrant is exercisable immediately prior to such Fundamental Transaction (without regard to any limitation in Section 2(f) on the exercise of this Warrant). For purposes of any such exercise, the determination of the Exercise Price shall be appropriately adjusted to apply to such Alternate Consideration based on the amount of Alternate Consideration issuable in respect of one Ordinary Share (including any Warrant Shares underlying the ADSs),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(including Ordinary Shares underlying ADSs) of the Company in connection with the Fundamental Transaction, whether that consideration be in the form of cash, shares or any combination thereof, or whether the holders of Ordinary Shares (including Ordinary Shares underlying ADSs) are given the choice to receive from among alternative forms of consideration in connection with the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holders of Ordinary Shares (including any Ordinary Shares underlying ADSs) of the Company are not offered or paid any consideration in such Fundamental Transaction, such holders of Ordinary Shares (including any Ordinary Shares underlying ADSs) will be deemed to have received common equity of the Successor Entity (which Successor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Ordinary Share being offered in cash, if any, plus the value of any non-cash consideration, if any, being offered in such Fundamental Transaction and (ii)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3(b),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in accordance with the provisions of this Section 3(b)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Warrant Shares underlying the Warrant ADSs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underlying the Warrant ADSs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3(b) regardless of (i) whether the Company has sufficient authorized Ordinary Shares for the issuance of Warrant Shares represented by Warrant ADSs and/or (ii) whether a Fundamental Transaction occurs prior to the Initial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(including Ordinary Shares underlying ADSs, but excluding treasury shares, if any)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Ordinary Shares or ADSs,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demerger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demerger, merger, sale, transfer, share exchange or action is expected to become effective or close, and the date as of which it is expected that holders of the Ordinary Shares (including Warrant Shares underlying Warrant ADSs) of record shall be entitled to exchange their Ordinary Shares for securities, cash or other property deliverable upon such reclassification, consolidation, demerger, merger, sale, transfer, share exchange or action;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on Form 6-K.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take no action that would result in the Exercise Price per ADS being adjusted hereunder to less than twelve and one half (12.50) Danish Krone, the nominal amount per share of the Ordinary Shares for fifty (50) Ordinary Shares, as expressed in United States dollars at the applicable exchange rate published by the Danish National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are transferable, in whole or in part, upon a written assignment of this Warrant substantially in the form attached hereto duly executed by the Holder or its agent or attorney and funds sufficient to pay any transfer taxes payable upon the making of such transfer. Upon such transfer and, if required, such payment, the Company shall update the Warrant Register (as defined below) in the name of the assignee or assignees, as applicable, and in the denomination or denominations specified in such instrument of assignment. Notwithstanding anything herein to the contrary, the Holder shall not be required to physically surrender this Warrant to the Company. The Warrant, if properly assigned in accordance herewith, may be exercised by a new holder for the subscription for Warrant ADSs without having a new Warrant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of Warrant</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this Warrant are to be so divided or combined, signed by the Holder or its agent or attorney. The Company shall carry out the necessary adjustments to the Warrant Register, as applicable, to reflect any such division or combination, including for the avoidance of doubt with respect to the number of Warrant ADSs issuable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and the amount of Warrant Shares represented by Warrant ADS issuable hereunder from time to time, including, but not limited to, in connection with any transfer or partial exercise of this Warrant.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Warranties and Legends</w:t>
      </w:r>
      <w:r>
        <w:rPr>
          <w:rFonts w:ascii="Times New Roman;Times;Serif" w:hAnsi="Times New Roman;Times;Serif"/>
          <w:b w:val="false"/>
          <w:i w:val="false"/>
          <w:caps w:val="false"/>
          <w:smallCaps w:val="false"/>
          <w:sz w:val="20"/>
        </w:rPr>
        <w:t>. In connection with the issuance and purchase of this Warrant and the terms hereof and the Debt Settlement Agreement entered into on or about the date hereof between the Holder and the Company (the “Debt Settlement Agreement”), the Holder makes the representations and warranties as set out in Schedule 5.1 hereto and agrees to the provisions of Schedule 5.2 hereto, including the restrictive legends and restrictions on transfer</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2(e)(i), except as expressly set forth in Section 3. Without limiting any rights of a Holder to receive cash payments pursuant to Section 2(e)(i) and Section 2(e)(iv) herein, in no event shall the Company be required to net cash settle an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Note to Draft: These changes, and the accompanying Schedule with standard accredited investor reps, are necessary to ensure and document a private placement in order to provide a legal opinion to BNY Mellon.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a sufficient number of shares has been authorized to provide for the issuance of the Warrant ADS and the underlying Ordinary Shares upon the exercise of any subjection rights under this Warrant. The Company further covenants that its issuance of this Warrant shall constitute full authority to its officers who are charged with the duty of issuing the requisite Warrant Shares for the Depositary to issue the necessary Warrant ADSs upon the exercise of the subscription rights under this Warrant. The Company will take all such reasonable action as may be necessary to assure that such Warrant Shares and Warrant ADSs may be issued as provided herein without violation of any applicable law or regulation, or of any requirements of the Trading Market upon which the ADSs and/or Ordinary Shares may be listed. The Company covenants that all Warrant Shares represented by Warrant ADSs which may be issued upon the exercise of the subscription rights represented by this Warrant will, upon exercise of the subscription rights represented by this Warrant and payment for such Warrant ADSs in accordance herewith, be duly authorized, validly issued, fully paid and nonassessable and free from all taxes, liens and charges created by the Company in respect of the issue thereof (other than any taxes in respect of any transfer occurring contemporaneously with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nominal value of any Warrant Shares represented by Warrant ADSs above the amount payable therefor upon such exercise immediately prior to such increase in nominal value, (ii) take all such action as may be necessary or appropriate in order that the Company may validly and legally issue fully paid and nonassessable Warrant Shares represented by Warrant ADSs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(a “</w:t>
      </w:r>
      <w:r>
        <w:rPr>
          <w:rFonts w:ascii="Times New Roman;Times;Serif" w:hAnsi="Times New Roman;Times;Serif"/>
          <w:b w:val="false"/>
          <w:i w:val="false"/>
          <w:caps w:val="false"/>
          <w:smallCaps w:val="false"/>
          <w:sz w:val="20"/>
          <w:u w:val="single"/>
        </w:rPr>
        <w:t>Dispute</w:t>
      </w:r>
      <w:r>
        <w:rPr>
          <w:rFonts w:ascii="Times New Roman;Times;Serif" w:hAnsi="Times New Roman;Times;Serif"/>
          <w:b w:val="false"/>
          <w:i w:val="false"/>
          <w:caps w:val="false"/>
          <w:smallCaps w:val="false"/>
          <w:sz w:val="20"/>
        </w:rPr>
        <w:t>”) of this Warrant shall be governed by and construed and enforced in accordance with the internal laws of the Kingdom of Denmark, without regard to the principles of conflict of laws thereof. The Courts of Denmark have exclusive jurisdiction to settle any Dispute arising out of or in connection with this Warrant or any non-contractual obligation arising out of or in connection with this Warrant. The parties agree that the Courts of Denmark are the most appropriate and convenient courts to settle Disputes between them and, accordingly, that they will not argue to the contrary. This Section 5(f) is for the benefit of the Holder only. As a result and notwithstanding anything in this clause to the contrary, this clause shall not prevent the Holder from taking proceedings relating to a Dispute in any other courts with jurisdiction. To the extent allowed by law, the Holder may take concurrent proceedings in any number of jurisdictions. If any party shall commence an action or proceeding to enforce any provisions of this Warrant,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represented by Warrant ADSs acquired upon the exercise of this Warrant will be restricted until actually resold in reliance on an effective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Dr. Neergaards Vej 5f, DK-2970 Hoersholm, Denmark, Attention: </w:t>
      </w:r>
      <w:r>
        <w:rPr>
          <w:rFonts w:ascii="Times New Roman;Times;Serif" w:hAnsi="Times New Roman;Times;Serif"/>
          <w:b/>
          <w:i w:val="false"/>
          <w:caps w:val="false"/>
          <w:smallCaps w:val="false"/>
          <w:sz w:val="20"/>
        </w:rPr>
        <w:t>[*] and investor@evaxion.ai</w:t>
      </w:r>
      <w:r>
        <w:rPr>
          <w:rFonts w:ascii="Times New Roman;Times;Serif" w:hAnsi="Times New Roman;Times;Serif"/>
          <w:b w:val="false"/>
          <w:i w:val="false"/>
          <w:caps w:val="false"/>
          <w:smallCaps w:val="false"/>
          <w:sz w:val="20"/>
        </w:rPr>
        <w:t xml:space="preserve">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number or address of such Holder appearing on the books of the Company, or if no such email, number or address appears on the books of the Company, then to the most recent email, number or address such Holder has provided to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subscribe for Warrant ADSs, and no enumeration herein of the rights or privileges of the Holder, shall give rise to any liability of the Holder for the subscription price of any Warrant Shares or Warrant ADSs or as a shareholder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Company Acknowledgement; Notice of Successor Danish Counsel</w:t>
      </w:r>
      <w:r>
        <w:rPr>
          <w:rFonts w:ascii="Times New Roman;Times;Serif" w:hAnsi="Times New Roman;Times;Serif"/>
          <w:b w:val="false"/>
          <w:i w:val="false"/>
          <w:caps w:val="false"/>
          <w:smallCaps w:val="false"/>
          <w:sz w:val="20"/>
        </w:rPr>
        <w:t>. The Company acknowledges and agrees that the Holder’s payment of the aggregate Exercise Price to Company Danish Counsel in connection with any exercise hereunder shall be deemed to be the delivery by the Holder of the aggregate Exercise Price to the Company and shall satisfy the Holder’s obligations under this Warrant for the payment of the aggregate Exercise Price in connection with any exercise hereunder and shall require the Company to deliver the Warrant ADSs upon such exercise to the Holder pursuant to the terms hereunder. If the Company changes its Company Danish Counsel after the Initial Exercise Date, the Company shall promptly deliver notice of the successor Company Danish Counsel ((including the bank wire transfer instructions of such successor Company Danish Counsel) to the Holder (including, without limitation, any successor holder of this Warrant) on Company letterhead and executed by the Chief Executive Officer or Chief Financial Officer of the Company, with instructions in writing to pay the aggregate Exercise Price of this Warrant to such successor Company Danish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Reimbursement</w:t>
      </w:r>
      <w:r>
        <w:rPr>
          <w:rFonts w:ascii="Times New Roman;Times;Serif" w:hAnsi="Times New Roman;Times;Serif"/>
          <w:b w:val="false"/>
          <w:i w:val="false"/>
          <w:caps w:val="false"/>
          <w:smallCaps w:val="false"/>
          <w:sz w:val="20"/>
        </w:rPr>
        <w:t>. The Company shall reimburse the Holder for any fees charged to the Holder by the Depositary in connection with the issuance or holding or sale of the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left"/>
        <w:rPr>
          <w:caps w:val="false"/>
          <w:smallCaps w:val="false"/>
        </w:rPr>
      </w:pPr>
      <w:r>
        <w:rPr>
          <w:caps w:val="false"/>
          <w:smallCaps w:val="false"/>
        </w:rPr>
        <w:t> </w:t>
      </w:r>
    </w:p>
    <w:tbl>
      <w:tblPr>
        <w:tblW w:w="1355" w:type="dxa"/>
        <w:jc w:val="left"/>
        <w:tblInd w:w="0" w:type="dxa"/>
        <w:tblLayout w:type="fixed"/>
        <w:tblCellMar>
          <w:top w:w="0" w:type="dxa"/>
          <w:left w:w="0" w:type="dxa"/>
          <w:bottom w:w="0" w:type="dxa"/>
          <w:right w:w="0" w:type="dxa"/>
        </w:tblCellMar>
      </w:tblPr>
      <w:tblGrid>
        <w:gridCol w:w="75"/>
        <w:gridCol w:w="928"/>
        <w:gridCol w:w="352"/>
      </w:tblGrid>
      <w:tr>
        <w:trPr/>
        <w:tc>
          <w:tcPr>
            <w:tcW w:w="75"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EVAXION A/S</w:t>
            </w:r>
          </w:p>
        </w:tc>
      </w:tr>
      <w:tr>
        <w:trPr/>
        <w:tc>
          <w:tcPr>
            <w:tcW w:w="75"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5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To:</w:t>
        <w:tab/>
        <w:t>     </w:t>
      </w:r>
      <w:r>
        <w:rPr>
          <w:rFonts w:ascii="Times New Roman;Times;Serif" w:hAnsi="Times New Roman;Times;Serif"/>
          <w:b/>
          <w:i w:val="false"/>
          <w:caps/>
          <w:sz w:val="20"/>
        </w:rPr>
        <w:t>EVAXION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ADS of the Company pursuant to the terms of the attached Warrant, and tenders herewith payment of the exercise price in full, together with all applicable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be in lawful money of the Kingdom of Denmark pursuant to the following bank wire transfer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Name</w:t>
      </w:r>
      <w:r>
        <w:rPr>
          <w:rFonts w:ascii="Times New Roman;Times;Serif" w:hAnsi="Times New Roman;Times;Serif"/>
          <w:b w:val="false"/>
          <w:i w:val="false"/>
          <w:caps w:val="false"/>
          <w:smallCaps w:val="false"/>
          <w:sz w:val="20"/>
        </w:rPr>
        <w:t>: Danske Bank</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Address</w:t>
      </w:r>
      <w:r>
        <w:rPr>
          <w:rFonts w:ascii="Times New Roman;Times;Serif" w:hAnsi="Times New Roman;Times;Serif"/>
          <w:b w:val="false"/>
          <w:i w:val="false"/>
          <w:caps w:val="false"/>
          <w:smallCaps w:val="false"/>
          <w:sz w:val="20"/>
        </w:rPr>
        <w:t>: Holmens Kanal 2, 1092 Copenhagen K, Denmark</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Account Name</w:t>
      </w:r>
      <w:r>
        <w:rPr>
          <w:rFonts w:ascii="Times New Roman;Times;Serif" w:hAnsi="Times New Roman;Times;Serif"/>
          <w:b w:val="false"/>
          <w:i w:val="false"/>
          <w:caps w:val="false"/>
          <w:smallCaps w:val="false"/>
          <w:sz w:val="20"/>
        </w:rPr>
        <w:t>: Mazanti-Andersen main client account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 Account Number</w:t>
      </w:r>
      <w:r>
        <w:rPr>
          <w:rFonts w:ascii="Times New Roman;Times;Serif" w:hAnsi="Times New Roman;Times;Serif"/>
          <w:b w:val="false"/>
          <w:i w:val="false"/>
          <w:caps w:val="false"/>
          <w:smallCaps w:val="false"/>
          <w:sz w:val="20"/>
        </w:rPr>
        <w:t>: 4777175572</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IBAN</w:t>
      </w:r>
      <w:r>
        <w:rPr>
          <w:rFonts w:ascii="Times New Roman;Times;Serif" w:hAnsi="Times New Roman;Times;Serif"/>
          <w:b w:val="false"/>
          <w:i w:val="false"/>
          <w:caps w:val="false"/>
          <w:smallCaps w:val="false"/>
          <w:sz w:val="20"/>
        </w:rPr>
        <w:t>: DK7130004777175572</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SWIFT-BIC</w:t>
      </w:r>
      <w:r>
        <w:rPr>
          <w:rFonts w:ascii="Times New Roman;Times;Serif" w:hAnsi="Times New Roman;Times;Serif"/>
          <w:b w:val="false"/>
          <w:i w:val="false"/>
          <w:caps w:val="false"/>
          <w:smallCaps w:val="false"/>
          <w:sz w:val="20"/>
        </w:rPr>
        <w:t>: DABADKKK</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Reference</w:t>
      </w:r>
      <w:r>
        <w:rPr>
          <w:rFonts w:ascii="Times New Roman;Times;Serif" w:hAnsi="Times New Roman;Times;Serif"/>
          <w:b w:val="false"/>
          <w:i w:val="false"/>
          <w:caps w:val="false"/>
          <w:smallCaps w:val="false"/>
          <w:sz w:val="20"/>
        </w:rPr>
        <w:t>: Evaxion Biotech A/S</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Contact Person and Telephone Number</w:t>
      </w:r>
      <w:r>
        <w:rPr>
          <w:rFonts w:ascii="Times New Roman;Times;Serif" w:hAnsi="Times New Roman;Times;Serif"/>
          <w:b w:val="false"/>
          <w:i w:val="false"/>
          <w:caps w:val="false"/>
          <w:smallCaps w:val="false"/>
          <w:sz w:val="20"/>
        </w:rPr>
        <w:t>: Lars Lüthjohan. Ph. no.: +4540283536 E-mail: LLJ@mazanti.dk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ADS in the name of the undersigned or in such other name as is specified below:</w:t>
      </w:r>
    </w:p>
    <w:p>
      <w:pPr>
        <w:pStyle w:val="TextBody"/>
        <w:bidi w:val="0"/>
        <w:spacing w:before="0" w:after="0"/>
        <w:ind w:left="0" w:right="0" w:hanging="0"/>
        <w:jc w:val="left"/>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75"/>
        <w:gridCol w:w="3905"/>
        <w:gridCol w:w="75"/>
      </w:tblGrid>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 name and number: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of DTC Participant: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of DTC Participant Contact: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ADS shall be delivered to the following DWAC Account Number:</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4460"/>
        <w:gridCol w:w="75"/>
      </w:tblGrid>
      <w:tr>
        <w:trPr/>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Holder: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of Authorized Signatory of Investing Entity: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left"/>
        <w:rPr>
          <w:caps w:val="false"/>
          <w:smallCaps w:val="false"/>
        </w:rPr>
      </w:pPr>
      <w:r>
        <w:rPr>
          <w:caps w:val="false"/>
          <w:smallCaps w:val="false"/>
        </w:rPr>
        <w:t> </w:t>
      </w:r>
    </w:p>
    <w:tbl>
      <w:tblPr>
        <w:tblW w:w="2813" w:type="dxa"/>
        <w:jc w:val="left"/>
        <w:tblInd w:w="0" w:type="dxa"/>
        <w:tblLayout w:type="fixed"/>
        <w:tblCellMar>
          <w:top w:w="0" w:type="dxa"/>
          <w:left w:w="0" w:type="dxa"/>
          <w:bottom w:w="0" w:type="dxa"/>
          <w:right w:w="0" w:type="dxa"/>
        </w:tblCellMar>
      </w:tblPr>
      <w:tblGrid>
        <w:gridCol w:w="1037"/>
        <w:gridCol w:w="107"/>
        <w:gridCol w:w="107"/>
        <w:gridCol w:w="107"/>
        <w:gridCol w:w="143"/>
        <w:gridCol w:w="107"/>
        <w:gridCol w:w="60"/>
        <w:gridCol w:w="1145"/>
      </w:tblGrid>
      <w:tr>
        <w:trPr/>
        <w:tc>
          <w:tcPr>
            <w:tcW w:w="1608" w:type="dxa"/>
            <w:gridSpan w:val="6"/>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283"/>
              <w:jc w:val="left"/>
              <w:rPr/>
            </w:pPr>
            <w:r>
              <w:rPr/>
              <w:t> </w:t>
            </w:r>
          </w:p>
        </w:tc>
        <w:tc>
          <w:tcPr>
            <w:tcW w:w="11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08"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w:t>
            </w:r>
          </w:p>
        </w:tc>
      </w:tr>
      <w:tr>
        <w:trPr/>
        <w:tc>
          <w:tcPr>
            <w:tcW w:w="1608"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608" w:type="dxa"/>
            <w:gridSpan w:val="6"/>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60" w:type="dxa"/>
            <w:tcBorders/>
            <w:vAlign w:val="center"/>
          </w:tcPr>
          <w:p>
            <w:pPr>
              <w:pStyle w:val="TableContents"/>
              <w:bidi w:val="0"/>
              <w:spacing w:before="0" w:after="283"/>
              <w:jc w:val="left"/>
              <w:rPr/>
            </w:pPr>
            <w:r>
              <w:rPr/>
              <w:t> </w:t>
            </w:r>
          </w:p>
        </w:tc>
        <w:tc>
          <w:tcPr>
            <w:tcW w:w="11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08"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(Please Print) </w:t>
            </w:r>
          </w:p>
        </w:tc>
      </w:tr>
      <w:tr>
        <w:trPr/>
        <w:tc>
          <w:tcPr>
            <w:tcW w:w="1608" w:type="dxa"/>
            <w:gridSpan w:val="6"/>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Phone Number:</w:t>
            </w:r>
          </w:p>
        </w:tc>
        <w:tc>
          <w:tcPr>
            <w:tcW w:w="60" w:type="dxa"/>
            <w:tcBorders/>
            <w:vAlign w:val="center"/>
          </w:tcPr>
          <w:p>
            <w:pPr>
              <w:pStyle w:val="TableContents"/>
              <w:bidi w:val="0"/>
              <w:spacing w:before="0" w:after="283"/>
              <w:jc w:val="left"/>
              <w:rPr/>
            </w:pPr>
            <w:r>
              <w:rPr/>
              <w:t> </w:t>
            </w:r>
          </w:p>
        </w:tc>
        <w:tc>
          <w:tcPr>
            <w:tcW w:w="11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08"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608" w:type="dxa"/>
            <w:gridSpan w:val="6"/>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Address:</w:t>
            </w:r>
          </w:p>
        </w:tc>
        <w:tc>
          <w:tcPr>
            <w:tcW w:w="60" w:type="dxa"/>
            <w:tcBorders/>
            <w:vAlign w:val="center"/>
          </w:tcPr>
          <w:p>
            <w:pPr>
              <w:pStyle w:val="TableContents"/>
              <w:bidi w:val="0"/>
              <w:spacing w:before="0" w:after="283"/>
              <w:jc w:val="left"/>
              <w:rPr/>
            </w:pPr>
            <w:r>
              <w:rPr/>
              <w:t> </w:t>
            </w:r>
          </w:p>
        </w:tc>
        <w:tc>
          <w:tcPr>
            <w:tcW w:w="11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08" w:type="dxa"/>
            <w:gridSpan w:val="6"/>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0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0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608"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608" w:type="dxa"/>
            <w:gridSpan w:val="6"/>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 Signature: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608"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608" w:type="dxa"/>
            <w:gridSpan w:val="6"/>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 Address: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Own Account</w:t>
      </w:r>
      <w:r>
        <w:rPr>
          <w:rFonts w:ascii="Times New Roman;Times;Serif" w:hAnsi="Times New Roman;Times;Serif"/>
          <w:b w:val="false"/>
          <w:i w:val="false"/>
          <w:caps w:val="false"/>
          <w:smallCaps w:val="false"/>
          <w:sz w:val="20"/>
        </w:rPr>
        <w:t>. Holder understands that the Warrant and, until sold pursuant to an effective registration statement to cover their resale, theWarrant Shares and Warrant ADS (the “Securities”), are “restricted securities” and have not been registered under the Securities Act or any applicable state securities law and is acquiring or acquired such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Holder’s right to sell such Securities pursuant to a registration statement or otherwise in compliance with applicable federal and state securities laws). Holder is acquiring the Securities hereunder in the ordinary course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Holder Status</w:t>
      </w:r>
      <w:r>
        <w:rPr>
          <w:rFonts w:ascii="Times New Roman;Times;Serif" w:hAnsi="Times New Roman;Times;Serif"/>
          <w:b w:val="false"/>
          <w:i w:val="false"/>
          <w:caps w:val="false"/>
          <w:smallCaps w:val="false"/>
          <w:sz w:val="20"/>
        </w:rPr>
        <w:t>. At the time such Holder was offered the Securities, it was, and as of the date hereof it is, and on each date on which it exercises any Warrants, it will be, an “accredited investor” as defined in Rule 501(a)(1), (a)(2), (a)(3), (a)(7), (a)(8), (a)(9), (a)(12), or (a)(13)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Experience of Holder</w:t>
      </w:r>
      <w:r>
        <w:rPr>
          <w:rFonts w:ascii="Times New Roman;Times;Serif" w:hAnsi="Times New Roman;Times;Serif"/>
          <w:b w:val="false"/>
          <w:i w:val="false"/>
          <w:caps w:val="false"/>
          <w:smallCaps w:val="false"/>
          <w:sz w:val="20"/>
        </w:rPr>
        <w:t>. Such Holder,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Holder is able to bear the economic risk of an investment in the Securities and, at the present time,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General Solicitation</w:t>
      </w:r>
      <w:r>
        <w:rPr>
          <w:rFonts w:ascii="Times New Roman;Times;Serif" w:hAnsi="Times New Roman;Times;Serif"/>
          <w:b w:val="false"/>
          <w:i w:val="false"/>
          <w:caps w:val="false"/>
          <w:smallCaps w:val="false"/>
          <w:sz w:val="20"/>
        </w:rPr>
        <w:t>. Such Holder is not, to such Holder’s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Holder, any other general solicitation or general advertisement.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Holder acknowledges that it has had the opportunity to review the Debt Settlement Agreement and Warrant on or about the date hereof, and all related documents (including all exhibits and schedules thereto) and reports filed by the Company with the Commission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5.2</w:t>
        <w:tab/>
        <w:t>     Other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1.1 Transfer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acknowledges and agrees that the Securities may only be disposed of in compliance with state and federal securities laws. In connection with any transfer of Securities other than pursuant to an effective registration statement or Rule 144, to the Company or to an Affiliate of Holder,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Holder under this Agreement and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Purchasers agree to the imprinting, so long as is required by this Section 1.1, of a legend on any of the Securities in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INTO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OR OTHERWISE DISTRIBUTED OR TRANSFERRED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all or any portion of a Warrant is exercised and such Warrant Shares (including Warrant Shares represented by Warrant ADSs) are issuable upon the exercise thereof at a time when there is an effective registration statement to cover the resale of such Warrant Shares (including Warrant Shares represented by Warrant ADSs), or if such Warrant Shares (including Warrant Shares represented by Warrant ADSs) may be sold under Rule 144 and the Company is then in compliance with the current public information required under Rule 144, or if the Warrant Shares (including Warrant Shares represented by Warrant ADSs) may be sold under Rule 144 without the requirement for the Company to be in compliance with the current public information required under Rule 144 as to such Warrant Shares (including Warrant Shares represented by ADSs), or if such legend is not otherwise required under applicable requirements of the Securities Act (including judicial interpretations and pronouncements issued by the staff of the Commission) then such Warrant Shares (including Warrant Shares represented by Warrant ADSs) shall be issued free of all legends.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Holder agrees with the Company that it will only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the Securities as set forth in this Section 1.1 is predicated upon the Company’s reliance upon this understanding.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English part of this parallel document in Danish and English is an unofficial translation of the original Danish text. In the event of disputes or misunderstandings arising from the interpretation of the translation, the Danish language shall prevail.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3"/>
        <w:gridCol w:w="5020"/>
        <w:gridCol w:w="60"/>
        <w:gridCol w:w="60"/>
        <w:gridCol w:w="4752"/>
      </w:tblGrid>
      <w:tr>
        <w:trPr/>
        <w:tc>
          <w:tcPr>
            <w:tcW w:w="313" w:type="dxa"/>
            <w:tcBorders/>
            <w:vAlign w:val="center"/>
          </w:tcPr>
          <w:p>
            <w:pPr>
              <w:pStyle w:val="TableContents"/>
              <w:bidi w:val="0"/>
              <w:spacing w:before="0" w:after="283"/>
              <w:jc w:val="both"/>
              <w:rPr/>
            </w:pPr>
            <w:r>
              <w:rPr/>
              <w:t> </w:t>
            </w:r>
          </w:p>
        </w:tc>
        <w:tc>
          <w:tcPr>
            <w:tcW w:w="5020" w:type="dxa"/>
            <w:tcBorders/>
            <w:vAlign w:val="center"/>
          </w:tcPr>
          <w:p>
            <w:pPr>
              <w:pStyle w:val="TableContents"/>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bilag 13 til selskabets vedtægter</w:t>
            </w:r>
          </w:p>
          <w:p>
            <w:pPr>
              <w:pStyle w:val="TableContents"/>
              <w:bidi w:val="0"/>
              <w:spacing w:before="0" w:after="0"/>
              <w:ind w:left="0" w:right="0" w:hanging="0"/>
              <w:jc w:val="both"/>
              <w:rPr>
                <w:caps/>
              </w:rPr>
            </w:pPr>
            <w:r>
              <w:rPr>
                <w:caps/>
              </w:rPr>
              <w:t> </w:t>
            </w:r>
          </w:p>
          <w:p>
            <w:pPr>
              <w:pStyle w:val="TableContents"/>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eVAXION A/S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Selskabet</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752" w:type="dxa"/>
            <w:tcBorders/>
            <w:vAlign w:val="center"/>
          </w:tcPr>
          <w:p>
            <w:pPr>
              <w:pStyle w:val="TableContents"/>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appendix 13 to articles of association</w:t>
            </w:r>
          </w:p>
          <w:p>
            <w:pPr>
              <w:pStyle w:val="TableContents"/>
              <w:bidi w:val="0"/>
              <w:spacing w:before="0" w:after="0"/>
              <w:ind w:left="0" w:right="0" w:hanging="0"/>
              <w:jc w:val="both"/>
              <w:rPr>
                <w:caps/>
              </w:rPr>
            </w:pPr>
            <w:r>
              <w:rPr>
                <w:caps/>
              </w:rPr>
              <w:t> </w:t>
            </w:r>
          </w:p>
          <w:p>
            <w:pPr>
              <w:pStyle w:val="TableContents"/>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eVAXION A/S</w:t>
            </w:r>
          </w:p>
          <w:p>
            <w:pPr>
              <w:pStyle w:val="TableContents"/>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(the “</w:t>
            </w:r>
            <w:r>
              <w:rPr>
                <w:rFonts w:ascii="Times New Roman;Times;Serif" w:hAnsi="Times New Roman;Times;Serif"/>
                <w:b/>
                <w:i w:val="false"/>
                <w:caps/>
                <w:sz w:val="20"/>
              </w:rPr>
              <w:t>Company”</w:t>
            </w:r>
            <w:r>
              <w:rPr>
                <w:rFonts w:ascii="Times New Roman;Times;Serif" w:hAnsi="Times New Roman;Times;Serif"/>
                <w:b w:val="false"/>
                <w:i w:val="false"/>
                <w:caps/>
                <w:sz w:val="20"/>
              </w:rPr>
              <w:t>)</w:t>
            </w:r>
          </w:p>
        </w:tc>
      </w:tr>
      <w:tr>
        <w:trPr/>
        <w:tc>
          <w:tcPr>
            <w:tcW w:w="313" w:type="dxa"/>
            <w:tcBorders/>
            <w:vAlign w:val="center"/>
          </w:tcPr>
          <w:p>
            <w:pPr>
              <w:pStyle w:val="TableContents"/>
              <w:bidi w:val="0"/>
              <w:spacing w:before="0" w:after="283"/>
              <w:jc w:val="both"/>
              <w:rPr/>
            </w:pPr>
            <w:r>
              <w:rPr/>
              <w:t> </w:t>
            </w:r>
          </w:p>
        </w:tc>
        <w:tc>
          <w:tcPr>
            <w:tcW w:w="50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752" w:type="dxa"/>
            <w:tcBorders/>
            <w:vAlign w:val="center"/>
          </w:tcPr>
          <w:p>
            <w:pPr>
              <w:pStyle w:val="TableContents"/>
              <w:bidi w:val="0"/>
              <w:spacing w:before="0" w:after="283"/>
              <w:jc w:val="both"/>
              <w:rPr/>
            </w:pPr>
            <w:r>
              <w:rPr/>
              <w:t> </w:t>
            </w:r>
          </w:p>
        </w:tc>
      </w:tr>
      <w:tr>
        <w:trPr/>
        <w:tc>
          <w:tcPr>
            <w:tcW w:w="313" w:type="dxa"/>
            <w:tcBorders/>
            <w:vAlign w:val="center"/>
          </w:tcPr>
          <w:p>
            <w:pPr>
              <w:pStyle w:val="TableContents"/>
              <w:bidi w:val="0"/>
              <w:spacing w:before="0" w:after="283"/>
              <w:jc w:val="left"/>
              <w:rPr/>
            </w:pPr>
            <w:r>
              <w:rPr/>
              <w:t> </w:t>
            </w:r>
          </w:p>
        </w:tc>
        <w:tc>
          <w:tcPr>
            <w:tcW w:w="50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INTRODUKTION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75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INTRODUCTION</w:t>
            </w:r>
          </w:p>
        </w:tc>
      </w:tr>
      <w:tr>
        <w:trPr/>
        <w:tc>
          <w:tcPr>
            <w:tcW w:w="313" w:type="dxa"/>
            <w:tcBorders/>
            <w:vAlign w:val="center"/>
          </w:tcPr>
          <w:p>
            <w:pPr>
              <w:pStyle w:val="TableContents"/>
              <w:bidi w:val="0"/>
              <w:spacing w:before="0" w:after="283"/>
              <w:jc w:val="both"/>
              <w:rPr/>
            </w:pPr>
            <w:r>
              <w:rPr/>
              <w:t> </w:t>
            </w:r>
          </w:p>
        </w:tc>
        <w:tc>
          <w:tcPr>
            <w:tcW w:w="50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752" w:type="dxa"/>
            <w:tcBorders/>
            <w:vAlign w:val="center"/>
          </w:tcPr>
          <w:p>
            <w:pPr>
              <w:pStyle w:val="TableContents"/>
              <w:bidi w:val="0"/>
              <w:spacing w:before="0" w:after="283"/>
              <w:jc w:val="both"/>
              <w:rPr/>
            </w:pPr>
            <w:r>
              <w:rPr/>
              <w:t> </w:t>
            </w:r>
          </w:p>
        </w:tc>
      </w:tr>
      <w:tr>
        <w:trPr/>
        <w:tc>
          <w:tcPr>
            <w:tcW w:w="313" w:type="dxa"/>
            <w:tcBorders/>
            <w:vAlign w:val="center"/>
          </w:tcPr>
          <w:p>
            <w:pPr>
              <w:pStyle w:val="TableContents"/>
              <w:bidi w:val="0"/>
              <w:spacing w:before="0" w:after="283"/>
              <w:jc w:val="left"/>
              <w:rPr/>
            </w:pPr>
            <w:r>
              <w:rPr/>
              <w:t> </w:t>
            </w:r>
          </w:p>
        </w:tc>
        <w:tc>
          <w:tcPr>
            <w:tcW w:w="5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Bestyrelsen har den 5. februar 2026 bestemt, at følgende vilkår og betingelser skal være gældende for visse warrants, der tildeles fra den 1. januar 2026 til bestyrelse, direktion, øvrige medarbejdere samt rådgivere/konsulenter i henhold til bemyndigelsen i vedtægternes pkt. 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7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of directors has on 5 February 2026 resolved that the following terms and conditions shall apply to certain warrants which are granted from 1 January 2026 to board members, management, other employees and advisors/consultants according to the authorization in article 2.5 of the articles of association:</w:t>
            </w:r>
          </w:p>
        </w:tc>
      </w:tr>
      <w:tr>
        <w:trPr/>
        <w:tc>
          <w:tcPr>
            <w:tcW w:w="313" w:type="dxa"/>
            <w:tcBorders/>
            <w:vAlign w:val="center"/>
          </w:tcPr>
          <w:p>
            <w:pPr>
              <w:pStyle w:val="TableContents"/>
              <w:bidi w:val="0"/>
              <w:spacing w:before="0" w:after="283"/>
              <w:jc w:val="both"/>
              <w:rPr/>
            </w:pPr>
            <w:r>
              <w:rPr/>
              <w:t> </w:t>
            </w:r>
          </w:p>
        </w:tc>
        <w:tc>
          <w:tcPr>
            <w:tcW w:w="50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752" w:type="dxa"/>
            <w:tcBorders/>
            <w:vAlign w:val="center"/>
          </w:tcPr>
          <w:p>
            <w:pPr>
              <w:pStyle w:val="TableContents"/>
              <w:bidi w:val="0"/>
              <w:spacing w:before="0" w:after="283"/>
              <w:jc w:val="both"/>
              <w:rPr/>
            </w:pPr>
            <w:r>
              <w:rPr/>
              <w:t> </w:t>
            </w:r>
          </w:p>
        </w:tc>
      </w:tr>
      <w:tr>
        <w:trPr/>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1.    </w:t>
            </w:r>
            <w:r>
              <w:rPr>
                <w:rFonts w:ascii="Times New Roman;Times;Serif" w:hAnsi="Times New Roman;Times;Serif"/>
                <w:sz w:val="20"/>
              </w:rPr>
              <w:t> </w:t>
            </w:r>
          </w:p>
        </w:tc>
        <w:tc>
          <w:tcPr>
            <w:tcW w:w="50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GENERELT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75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GENERAL</w:t>
            </w:r>
          </w:p>
        </w:tc>
      </w:tr>
      <w:tr>
        <w:trPr/>
        <w:tc>
          <w:tcPr>
            <w:tcW w:w="313" w:type="dxa"/>
            <w:tcBorders/>
            <w:vAlign w:val="center"/>
          </w:tcPr>
          <w:p>
            <w:pPr>
              <w:pStyle w:val="TableContents"/>
              <w:bidi w:val="0"/>
              <w:spacing w:before="0" w:after="283"/>
              <w:jc w:val="left"/>
              <w:rPr/>
            </w:pPr>
            <w:r>
              <w:rPr/>
              <w:t> </w:t>
            </w:r>
          </w:p>
        </w:tc>
        <w:tc>
          <w:tcPr>
            <w:tcW w:w="5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2" w:type="dxa"/>
            <w:tcBorders/>
            <w:vAlign w:val="center"/>
          </w:tcPr>
          <w:p>
            <w:pPr>
              <w:pStyle w:val="TableContents"/>
              <w:bidi w:val="0"/>
              <w:spacing w:before="0" w:after="283"/>
              <w:jc w:val="left"/>
              <w:rPr/>
            </w:pPr>
            <w:r>
              <w:rPr/>
              <w:t> </w:t>
            </w:r>
          </w:p>
        </w:tc>
      </w:tr>
      <w:tr>
        <w:trPr/>
        <w:tc>
          <w:tcPr>
            <w:tcW w:w="313" w:type="dxa"/>
            <w:tcBorders/>
            <w:vAlign w:val="center"/>
          </w:tcPr>
          <w:p>
            <w:pPr>
              <w:pStyle w:val="TableContents"/>
              <w:bidi w:val="0"/>
              <w:spacing w:before="0" w:after="283"/>
              <w:jc w:val="left"/>
              <w:rPr>
                <w:b/>
              </w:rPr>
            </w:pPr>
            <w:r>
              <w:rPr>
                <w:b w:val="false"/>
                <w:sz w:val="20"/>
              </w:rPr>
              <w:t xml:space="preserve">1.1.  </w:t>
            </w:r>
            <w:r>
              <w:rPr>
                <w:b/>
              </w:rPr>
              <w:t> </w:t>
            </w:r>
          </w:p>
        </w:tc>
        <w:tc>
          <w:tcPr>
            <w:tcW w:w="5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har indført et incitamentsprogram for bestyrelse, direktion, øvrige medarbejdere samt rådgivere/konsulenter (herefter samlet benævnt “Warrantindehavere”) i/for Selskabet og dets eventuelle datterselskaber (herefter benævnt “Selskabet”). Programmet er baseret på vederlagsfri tildeling af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7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has introduced an incentive program for board members, management, other employees and advisors/consultants (hereinafter collectively referred to as “Warrantholders”) in/on behalf of the Company and its subsidiaries (collectively the “Company”). The program is based on grant of warrants without payment. </w:t>
            </w:r>
          </w:p>
        </w:tc>
      </w:tr>
      <w:tr>
        <w:trPr/>
        <w:tc>
          <w:tcPr>
            <w:tcW w:w="313" w:type="dxa"/>
            <w:tcBorders/>
            <w:vAlign w:val="center"/>
          </w:tcPr>
          <w:p>
            <w:pPr>
              <w:pStyle w:val="TableContents"/>
              <w:bidi w:val="0"/>
              <w:spacing w:before="0" w:after="283"/>
              <w:jc w:val="both"/>
              <w:rPr/>
            </w:pPr>
            <w:r>
              <w:rPr/>
              <w:t> </w:t>
            </w:r>
          </w:p>
        </w:tc>
        <w:tc>
          <w:tcPr>
            <w:tcW w:w="50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752" w:type="dxa"/>
            <w:tcBorders/>
            <w:vAlign w:val="center"/>
          </w:tcPr>
          <w:p>
            <w:pPr>
              <w:pStyle w:val="TableContents"/>
              <w:bidi w:val="0"/>
              <w:spacing w:before="0" w:after="283"/>
              <w:jc w:val="both"/>
              <w:rPr/>
            </w:pPr>
            <w:r>
              <w:rPr/>
              <w:t> </w:t>
            </w:r>
          </w:p>
        </w:tc>
      </w:tr>
      <w:tr>
        <w:trPr/>
        <w:tc>
          <w:tcPr>
            <w:tcW w:w="313" w:type="dxa"/>
            <w:tcBorders/>
            <w:vAlign w:val="center"/>
          </w:tcPr>
          <w:p>
            <w:pPr>
              <w:pStyle w:val="TableContents"/>
              <w:bidi w:val="0"/>
              <w:spacing w:before="0" w:after="283"/>
              <w:jc w:val="left"/>
              <w:rPr>
                <w:b/>
              </w:rPr>
            </w:pPr>
            <w:r>
              <w:rPr>
                <w:b w:val="false"/>
                <w:sz w:val="20"/>
              </w:rPr>
              <w:t xml:space="preserve">1.2.  </w:t>
            </w:r>
            <w:r>
              <w:rPr>
                <w:b/>
              </w:rPr>
              <w:t> </w:t>
            </w:r>
          </w:p>
        </w:tc>
        <w:tc>
          <w:tcPr>
            <w:tcW w:w="5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 warrant er en ret, men ikke en pligt, til i nærmere fastlagte perioder (udnyttelsesperioder) at tegne nye aktier i Selskabet til en kurs, der er fastsat på forhånd (udnyttelsesprisen). Udnyttelsesprisen fastsættes af bestyrelsen i forbindelse med hver udstedelse/tildeling af warrants. Én warrant giver ret til at tegne én ordinær aktie i Selskabet á nominelt DKK 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7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warrant is a right, but not an obligation, during fixed periods (exercise periods) to subscribe for new ordinary shares in the Company at a fixed price (the exercise price) in advance. The exercise price shall be determined by the board of directors. Each warrant carries the right to subscribe for nominal DKK 0.25 per ordinary share in the Company. </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185" w:type="dxa"/>
        <w:jc w:val="left"/>
        <w:tblInd w:w="0" w:type="dxa"/>
        <w:tblLayout w:type="fixed"/>
        <w:tblCellMar>
          <w:top w:w="0" w:type="dxa"/>
          <w:left w:w="0" w:type="dxa"/>
          <w:bottom w:w="0" w:type="dxa"/>
          <w:right w:w="0" w:type="dxa"/>
        </w:tblCellMar>
      </w:tblPr>
      <w:tblGrid>
        <w:gridCol w:w="485"/>
        <w:gridCol w:w="4505"/>
        <w:gridCol w:w="60"/>
        <w:gridCol w:w="60"/>
        <w:gridCol w:w="5075"/>
      </w:tblGrid>
      <w:tr>
        <w:trPr/>
        <w:tc>
          <w:tcPr>
            <w:tcW w:w="485" w:type="dxa"/>
            <w:tcBorders/>
            <w:vAlign w:val="center"/>
          </w:tcPr>
          <w:p>
            <w:pPr>
              <w:pStyle w:val="TableContents"/>
              <w:bidi w:val="0"/>
              <w:spacing w:before="0" w:after="283"/>
              <w:jc w:val="left"/>
              <w:rPr>
                <w:b/>
              </w:rPr>
            </w:pPr>
            <w:r>
              <w:rPr>
                <w:b w:val="false"/>
                <w:sz w:val="20"/>
              </w:rPr>
              <w:t xml:space="preserve">1.3.  </w:t>
            </w:r>
            <w:r>
              <w:rPr>
                <w:b/>
              </w:rPr>
              <w:t> </w:t>
            </w:r>
          </w:p>
        </w:tc>
        <w:tc>
          <w:tcPr>
            <w:tcW w:w="4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Warrants tildeles efter bestyrelsens diskretionære skøn.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Warrants are offered at the discretion of the board of directors.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5"/>
        <w:gridCol w:w="5223"/>
        <w:gridCol w:w="60"/>
        <w:gridCol w:w="60"/>
        <w:gridCol w:w="4557"/>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2.    </w:t>
            </w:r>
            <w:r>
              <w:rPr>
                <w:rFonts w:ascii="Times New Roman;Times;Serif" w:hAnsi="Times New Roman;Times;Serif"/>
                <w:sz w:val="20"/>
              </w:rPr>
              <w:t> </w:t>
            </w:r>
          </w:p>
        </w:tc>
        <w:tc>
          <w:tcPr>
            <w:tcW w:w="522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TILDELING AF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5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GRANT OF WARRANTS</w:t>
            </w:r>
          </w:p>
        </w:tc>
      </w:tr>
      <w:tr>
        <w:trPr/>
        <w:tc>
          <w:tcPr>
            <w:tcW w:w="305" w:type="dxa"/>
            <w:tcBorders/>
            <w:vAlign w:val="center"/>
          </w:tcPr>
          <w:p>
            <w:pPr>
              <w:pStyle w:val="TableContents"/>
              <w:bidi w:val="0"/>
              <w:spacing w:before="0" w:after="283"/>
              <w:jc w:val="both"/>
              <w:rPr/>
            </w:pPr>
            <w:r>
              <w:rPr/>
              <w:t> </w:t>
            </w:r>
          </w:p>
        </w:tc>
        <w:tc>
          <w:tcPr>
            <w:tcW w:w="522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57" w:type="dxa"/>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left"/>
              <w:rPr>
                <w:b/>
              </w:rPr>
            </w:pPr>
            <w:r>
              <w:rPr>
                <w:b w:val="false"/>
                <w:sz w:val="20"/>
              </w:rPr>
              <w:t xml:space="preserve">2.1.  </w:t>
            </w:r>
            <w:r>
              <w:rPr>
                <w:b/>
              </w:rPr>
              <w:t> </w:t>
            </w:r>
          </w:p>
        </w:tc>
        <w:tc>
          <w:tcPr>
            <w:tcW w:w="52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skal fremgå af den enkelte Warrantindehavers warrantaftale, hvor mange warrants Warrantindehaveren får tildelt, samt til hvilken kurs warrants kan udnyttes.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individual Warrantholder’s warrant agreement shall describe how many warrants have been granted to the Warrantholder and the exercise price for the warrants.</w:t>
            </w:r>
          </w:p>
        </w:tc>
      </w:tr>
      <w:tr>
        <w:trPr/>
        <w:tc>
          <w:tcPr>
            <w:tcW w:w="305" w:type="dxa"/>
            <w:tcBorders/>
            <w:vAlign w:val="center"/>
          </w:tcPr>
          <w:p>
            <w:pPr>
              <w:pStyle w:val="TableContents"/>
              <w:bidi w:val="0"/>
              <w:spacing w:before="0" w:after="283"/>
              <w:jc w:val="both"/>
              <w:rPr/>
            </w:pPr>
            <w:r>
              <w:rPr/>
              <w:t> </w:t>
            </w:r>
          </w:p>
        </w:tc>
        <w:tc>
          <w:tcPr>
            <w:tcW w:w="522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57" w:type="dxa"/>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left"/>
              <w:rPr>
                <w:b/>
              </w:rPr>
            </w:pPr>
            <w:r>
              <w:rPr>
                <w:b w:val="false"/>
                <w:sz w:val="20"/>
              </w:rPr>
              <w:t xml:space="preserve">2.2.  </w:t>
            </w:r>
            <w:r>
              <w:rPr>
                <w:b/>
              </w:rPr>
              <w:t> </w:t>
            </w:r>
          </w:p>
        </w:tc>
        <w:tc>
          <w:tcPr>
            <w:tcW w:w="52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Warrantindehaverne skal ikke betale noget vederlag for at få tildelt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grant of warrants shall not be subject to payment from the Warrantholders.</w:t>
            </w:r>
          </w:p>
        </w:tc>
      </w:tr>
      <w:tr>
        <w:trPr/>
        <w:tc>
          <w:tcPr>
            <w:tcW w:w="305" w:type="dxa"/>
            <w:tcBorders/>
            <w:vAlign w:val="center"/>
          </w:tcPr>
          <w:p>
            <w:pPr>
              <w:pStyle w:val="TableContents"/>
              <w:bidi w:val="0"/>
              <w:spacing w:before="0" w:after="283"/>
              <w:jc w:val="both"/>
              <w:rPr/>
            </w:pPr>
            <w:r>
              <w:rPr/>
              <w:t> </w:t>
            </w:r>
          </w:p>
        </w:tc>
        <w:tc>
          <w:tcPr>
            <w:tcW w:w="522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57" w:type="dxa"/>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left"/>
              <w:rPr>
                <w:b/>
              </w:rPr>
            </w:pPr>
            <w:r>
              <w:rPr>
                <w:b w:val="false"/>
                <w:sz w:val="20"/>
              </w:rPr>
              <w:t xml:space="preserve">2.3.  </w:t>
            </w:r>
            <w:r>
              <w:rPr>
                <w:b/>
              </w:rPr>
              <w:t> </w:t>
            </w:r>
          </w:p>
        </w:tc>
        <w:tc>
          <w:tcPr>
            <w:tcW w:w="52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eller den til hvem kompetencen er delegeret fører en fortegnelse over tildelte warrants, der ajourføres løbende.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or the Company’s proxy shall keep records of granted warrants and update the records at regular intervals.</w:t>
            </w:r>
          </w:p>
        </w:tc>
      </w:tr>
      <w:tr>
        <w:trPr/>
        <w:tc>
          <w:tcPr>
            <w:tcW w:w="305" w:type="dxa"/>
            <w:tcBorders/>
            <w:vAlign w:val="center"/>
          </w:tcPr>
          <w:p>
            <w:pPr>
              <w:pStyle w:val="TableContents"/>
              <w:bidi w:val="0"/>
              <w:spacing w:before="0" w:after="283"/>
              <w:jc w:val="both"/>
              <w:rPr/>
            </w:pPr>
            <w:r>
              <w:rPr/>
              <w:t> </w:t>
            </w:r>
          </w:p>
        </w:tc>
        <w:tc>
          <w:tcPr>
            <w:tcW w:w="522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57" w:type="dxa"/>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3.    </w:t>
            </w:r>
            <w:r>
              <w:rPr>
                <w:rFonts w:ascii="Times New Roman;Times;Serif" w:hAnsi="Times New Roman;Times;Serif"/>
                <w:sz w:val="20"/>
              </w:rPr>
              <w:t> </w:t>
            </w:r>
          </w:p>
        </w:tc>
        <w:tc>
          <w:tcPr>
            <w:tcW w:w="522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OPTJENING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5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VESTING</w:t>
            </w:r>
          </w:p>
        </w:tc>
      </w:tr>
      <w:tr>
        <w:trPr/>
        <w:tc>
          <w:tcPr>
            <w:tcW w:w="305" w:type="dxa"/>
            <w:tcBorders/>
            <w:vAlign w:val="center"/>
          </w:tcPr>
          <w:p>
            <w:pPr>
              <w:pStyle w:val="TableContents"/>
              <w:bidi w:val="0"/>
              <w:spacing w:before="0" w:after="283"/>
              <w:jc w:val="left"/>
              <w:rPr/>
            </w:pPr>
            <w:r>
              <w:rPr/>
              <w:t> </w:t>
            </w:r>
          </w:p>
        </w:tc>
        <w:tc>
          <w:tcPr>
            <w:tcW w:w="52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7"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b/>
              </w:rPr>
            </w:pPr>
            <w:r>
              <w:rPr>
                <w:b w:val="false"/>
                <w:sz w:val="20"/>
              </w:rPr>
              <w:t xml:space="preserve">3.1.  </w:t>
            </w:r>
            <w:r>
              <w:rPr>
                <w:b/>
              </w:rPr>
              <w:t> </w:t>
            </w:r>
          </w:p>
        </w:tc>
        <w:tc>
          <w:tcPr>
            <w:tcW w:w="52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 optjener som udgangspunkt ret til at udnytte warrants med 1/36 pr. måned regnet fra tildelingstidspunktet. Bestyrelsesmedlemmer optjener dog som udgangspunkt ret til at udnytte warrants med 1/12 pr. måned regnet fra tildelingstidspunktet. Bestyrelsen skal dog være berettiget til at fravige nævnte udgangspunkt og bestemme, at tildelte warrants anses for optjent pr. tildelingstidspunktet, eller at der skal gælde særlige regler for optjeningen. Sådanne eventuelle fravigelser skal specificeres i vedtægterne i forbindelse med udstedelsen.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granted shall, as a general rule, vest for exercise with 1/36 per month from the date of grant. However, warrants granted to board members shall, as a general rule, vest for exercise with 1/12 per month from the date of grant. The board of directors shall, however, be entitled to deviate from the general rule and determine that warrants shall vest as of the grant date, or that special rules shall apply in relation to vesting. Such deviations, if any, shall be specified in the articles of association in connection with the issuance.</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7"/>
        <w:gridCol w:w="5179"/>
        <w:gridCol w:w="60"/>
        <w:gridCol w:w="60"/>
        <w:gridCol w:w="4589"/>
      </w:tblGrid>
      <w:tr>
        <w:trPr/>
        <w:tc>
          <w:tcPr>
            <w:tcW w:w="317" w:type="dxa"/>
            <w:tcBorders/>
            <w:vAlign w:val="center"/>
          </w:tcPr>
          <w:p>
            <w:pPr>
              <w:pStyle w:val="TableContents"/>
              <w:bidi w:val="0"/>
              <w:spacing w:before="0" w:after="283"/>
              <w:jc w:val="left"/>
              <w:rPr>
                <w:b/>
              </w:rPr>
            </w:pPr>
            <w:r>
              <w:rPr>
                <w:b w:val="false"/>
                <w:sz w:val="20"/>
              </w:rPr>
              <w:t xml:space="preserve">3.2.  </w:t>
            </w:r>
            <w:r>
              <w:rPr>
                <w:b/>
              </w:rPr>
              <w:t> </w:t>
            </w:r>
          </w:p>
        </w:tc>
        <w:tc>
          <w:tcPr>
            <w:tcW w:w="51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 Warrantindehaver optjener kun warrants, så længe vedkommende er bestyrelsesmedlem eller ansat i Selskabet eller dets eventuelle datterselskaber.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shall only vest to the extent that the Warrantholder is currently a board member or employed by the Company or its subsidiaries, if any.</w:t>
            </w:r>
          </w:p>
        </w:tc>
      </w:tr>
      <w:tr>
        <w:trPr/>
        <w:tc>
          <w:tcPr>
            <w:tcW w:w="317" w:type="dxa"/>
            <w:tcBorders/>
            <w:vAlign w:val="center"/>
          </w:tcPr>
          <w:p>
            <w:pPr>
              <w:pStyle w:val="TableContents"/>
              <w:bidi w:val="0"/>
              <w:spacing w:before="0" w:after="283"/>
              <w:jc w:val="both"/>
              <w:rPr/>
            </w:pPr>
            <w:r>
              <w:rPr/>
              <w:t> </w:t>
            </w:r>
          </w:p>
        </w:tc>
        <w:tc>
          <w:tcPr>
            <w:tcW w:w="517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89" w:type="dxa"/>
            <w:tcBorders/>
            <w:vAlign w:val="center"/>
          </w:tcPr>
          <w:p>
            <w:pPr>
              <w:pStyle w:val="TableContents"/>
              <w:bidi w:val="0"/>
              <w:spacing w:before="0" w:after="283"/>
              <w:jc w:val="both"/>
              <w:rPr/>
            </w:pPr>
            <w:r>
              <w:rPr/>
              <w:t> </w:t>
            </w:r>
          </w:p>
        </w:tc>
      </w:tr>
      <w:tr>
        <w:trPr/>
        <w:tc>
          <w:tcPr>
            <w:tcW w:w="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4.    </w:t>
            </w:r>
            <w:r>
              <w:rPr>
                <w:rFonts w:ascii="Times New Roman;Times;Serif" w:hAnsi="Times New Roman;Times;Serif"/>
                <w:sz w:val="20"/>
              </w:rPr>
              <w:t> </w:t>
            </w:r>
          </w:p>
        </w:tc>
        <w:tc>
          <w:tcPr>
            <w:tcW w:w="517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UDNYTTELSE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8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EXERCISE</w:t>
            </w:r>
          </w:p>
        </w:tc>
      </w:tr>
      <w:tr>
        <w:trPr/>
        <w:tc>
          <w:tcPr>
            <w:tcW w:w="317" w:type="dxa"/>
            <w:tcBorders/>
            <w:vAlign w:val="center"/>
          </w:tcPr>
          <w:p>
            <w:pPr>
              <w:pStyle w:val="TableContents"/>
              <w:bidi w:val="0"/>
              <w:spacing w:before="0" w:after="283"/>
              <w:jc w:val="left"/>
              <w:rPr/>
            </w:pPr>
            <w:r>
              <w:rPr/>
              <w:t> </w:t>
            </w:r>
          </w:p>
        </w:tc>
        <w:tc>
          <w:tcPr>
            <w:tcW w:w="51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9" w:type="dxa"/>
            <w:tcBorders/>
            <w:vAlign w:val="center"/>
          </w:tcPr>
          <w:p>
            <w:pPr>
              <w:pStyle w:val="TableContents"/>
              <w:bidi w:val="0"/>
              <w:spacing w:before="0" w:after="283"/>
              <w:jc w:val="left"/>
              <w:rPr/>
            </w:pPr>
            <w:r>
              <w:rPr/>
              <w:t> </w:t>
            </w:r>
          </w:p>
        </w:tc>
      </w:tr>
      <w:tr>
        <w:trPr/>
        <w:tc>
          <w:tcPr>
            <w:tcW w:w="317" w:type="dxa"/>
            <w:tcBorders/>
            <w:vAlign w:val="center"/>
          </w:tcPr>
          <w:p>
            <w:pPr>
              <w:pStyle w:val="TableContents"/>
              <w:bidi w:val="0"/>
              <w:spacing w:before="0" w:after="283"/>
              <w:jc w:val="left"/>
              <w:rPr>
                <w:b/>
              </w:rPr>
            </w:pPr>
            <w:r>
              <w:rPr>
                <w:b w:val="false"/>
                <w:sz w:val="20"/>
              </w:rPr>
              <w:t xml:space="preserve">4.1.  </w:t>
            </w:r>
            <w:r>
              <w:rPr>
                <w:b/>
              </w:rPr>
              <w:t> </w:t>
            </w:r>
          </w:p>
        </w:tc>
        <w:tc>
          <w:tcPr>
            <w:tcW w:w="51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Optjente warrants kan udnyttes dagligt, dog således at Warrantindehaverens udnyttelse af warrants er betinget af, at udnyttelsen sker i overensstemmelse med de til enhver tid gældende regler for insiderhandel Selskabets bestyrelse er dog til enhver tid berettiget til at afvise en Warrantindehavers udnyttelse af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89" w:type="dxa"/>
            <w:tcBorders/>
            <w:vAlign w:val="center"/>
          </w:tcPr>
          <w:p>
            <w:pPr>
              <w:pStyle w:val="TableContents"/>
              <w:bidi w:val="0"/>
              <w:spacing w:before="0" w:after="283"/>
              <w:jc w:val="both"/>
              <w:rPr>
                <w:sz w:val="20"/>
              </w:rPr>
            </w:pPr>
            <w:r>
              <w:rPr>
                <w:sz w:val="20"/>
              </w:rPr>
              <w:t>Vested warrants may be exercised daily, provided that the Warrantholder’s exercise of warrants is subject to compliance with the rules on insider trading applicable at any given time. However, the Company’s board of directors is entitled at any time to refuse a warrant holder’s exercise of warrants.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4"/>
        <w:gridCol w:w="5200"/>
        <w:gridCol w:w="60"/>
        <w:gridCol w:w="60"/>
        <w:gridCol w:w="4581"/>
      </w:tblGrid>
      <w:tr>
        <w:trPr/>
        <w:tc>
          <w:tcPr>
            <w:tcW w:w="304" w:type="dxa"/>
            <w:tcBorders/>
            <w:vAlign w:val="center"/>
          </w:tcPr>
          <w:p>
            <w:pPr>
              <w:pStyle w:val="TableContents"/>
              <w:bidi w:val="0"/>
              <w:spacing w:before="0" w:after="283"/>
              <w:jc w:val="left"/>
              <w:rPr>
                <w:b/>
              </w:rPr>
            </w:pPr>
            <w:r>
              <w:rPr>
                <w:b w:val="false"/>
                <w:sz w:val="20"/>
              </w:rPr>
              <w:t xml:space="preserve">4.2.  </w:t>
            </w:r>
            <w:r>
              <w:rPr>
                <w:b/>
              </w:rPr>
              <w:t> </w:t>
            </w:r>
          </w:p>
        </w:tc>
        <w:tc>
          <w:tcPr>
            <w:tcW w:w="5200" w:type="dxa"/>
            <w:tcBorders/>
            <w:vAlign w:val="center"/>
          </w:tcPr>
          <w:p>
            <w:pPr>
              <w:pStyle w:val="TableContents"/>
              <w:bidi w:val="0"/>
              <w:spacing w:before="0" w:after="283"/>
              <w:jc w:val="both"/>
              <w:rPr>
                <w:sz w:val="20"/>
              </w:rPr>
            </w:pPr>
            <w:r>
              <w:rPr>
                <w:sz w:val="20"/>
              </w:rPr>
              <w:t>Warrants udløber og bortfalder automatisk uden varsel og uden særskilt vederlag eller anden kompensation på ti-årsdagen for tildelingen.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8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will lapse automatically, without prior notice and without compensation of any kind on the tenth (10th) anniversary of the date of grant.</w:t>
            </w:r>
          </w:p>
        </w:tc>
      </w:tr>
      <w:tr>
        <w:trPr/>
        <w:tc>
          <w:tcPr>
            <w:tcW w:w="304" w:type="dxa"/>
            <w:tcBorders/>
            <w:vAlign w:val="center"/>
          </w:tcPr>
          <w:p>
            <w:pPr>
              <w:pStyle w:val="TableContents"/>
              <w:bidi w:val="0"/>
              <w:spacing w:before="0" w:after="283"/>
              <w:jc w:val="both"/>
              <w:rPr/>
            </w:pPr>
            <w:r>
              <w:rPr/>
              <w:t> </w:t>
            </w:r>
          </w:p>
        </w:tc>
        <w:tc>
          <w:tcPr>
            <w:tcW w:w="52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81" w:type="dxa"/>
            <w:tcBorders/>
            <w:vAlign w:val="center"/>
          </w:tcPr>
          <w:p>
            <w:pPr>
              <w:pStyle w:val="TableContents"/>
              <w:bidi w:val="0"/>
              <w:spacing w:before="0" w:after="283"/>
              <w:jc w:val="both"/>
              <w:rPr/>
            </w:pPr>
            <w:r>
              <w:rPr/>
              <w:t> </w:t>
            </w:r>
          </w:p>
        </w:tc>
      </w:tr>
      <w:tr>
        <w:trPr/>
        <w:tc>
          <w:tcPr>
            <w:tcW w:w="304" w:type="dxa"/>
            <w:tcBorders/>
            <w:vAlign w:val="center"/>
          </w:tcPr>
          <w:p>
            <w:pPr>
              <w:pStyle w:val="TableContents"/>
              <w:bidi w:val="0"/>
              <w:spacing w:before="0" w:after="283"/>
              <w:jc w:val="left"/>
              <w:rPr>
                <w:b/>
              </w:rPr>
            </w:pPr>
            <w:r>
              <w:rPr>
                <w:b w:val="false"/>
                <w:sz w:val="20"/>
              </w:rPr>
              <w:t xml:space="preserve">4.3.  </w:t>
            </w:r>
            <w:r>
              <w:rPr>
                <w:b/>
              </w:rPr>
              <w:t> </w:t>
            </w:r>
          </w:p>
        </w:tc>
        <w:tc>
          <w:tcPr>
            <w:tcW w:w="5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den sidste dag i en udnyttelsesperiode er en lørdag eller en søndag, omfatter udnyttelsesperioden også den herefter førstkommende hverdag.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last day of an exercise period is a Saturday or Sunday, the exercise period shall also include the first weekday immediately following the stipulated period.</w:t>
            </w:r>
          </w:p>
        </w:tc>
      </w:tr>
      <w:tr>
        <w:trPr/>
        <w:tc>
          <w:tcPr>
            <w:tcW w:w="304" w:type="dxa"/>
            <w:tcBorders/>
            <w:vAlign w:val="center"/>
          </w:tcPr>
          <w:p>
            <w:pPr>
              <w:pStyle w:val="TableContents"/>
              <w:bidi w:val="0"/>
              <w:spacing w:before="0" w:after="283"/>
              <w:jc w:val="both"/>
              <w:rPr/>
            </w:pPr>
            <w:r>
              <w:rPr/>
              <w:t> </w:t>
            </w:r>
          </w:p>
        </w:tc>
        <w:tc>
          <w:tcPr>
            <w:tcW w:w="52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81" w:type="dxa"/>
            <w:tcBorders/>
            <w:vAlign w:val="center"/>
          </w:tcPr>
          <w:p>
            <w:pPr>
              <w:pStyle w:val="TableContents"/>
              <w:bidi w:val="0"/>
              <w:spacing w:before="0" w:after="283"/>
              <w:jc w:val="both"/>
              <w:rPr/>
            </w:pPr>
            <w:r>
              <w:rPr/>
              <w:t> </w:t>
            </w:r>
          </w:p>
        </w:tc>
      </w:tr>
      <w:tr>
        <w:trPr/>
        <w:tc>
          <w:tcPr>
            <w:tcW w:w="304" w:type="dxa"/>
            <w:tcBorders/>
            <w:vAlign w:val="center"/>
          </w:tcPr>
          <w:p>
            <w:pPr>
              <w:pStyle w:val="TableContents"/>
              <w:bidi w:val="0"/>
              <w:spacing w:before="0" w:after="283"/>
              <w:jc w:val="left"/>
              <w:rPr>
                <w:b/>
              </w:rPr>
            </w:pPr>
            <w:r>
              <w:rPr>
                <w:b w:val="false"/>
                <w:sz w:val="20"/>
              </w:rPr>
              <w:t xml:space="preserve">4.4.  </w:t>
            </w:r>
            <w:r>
              <w:rPr>
                <w:b/>
              </w:rPr>
              <w:t> </w:t>
            </w:r>
          </w:p>
        </w:tc>
        <w:tc>
          <w:tcPr>
            <w:tcW w:w="5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 kan frit vælge, hvornår optjente warrants skal udnyttes, jf. dog punkt 4.6 nedenfor vedrørende væsentlig misligholdelse. Det er dog en betingelse for udnyttelsen, at Warrantindehaveren ved en given udnyttelse udnytter optjente warrants, der giver ret til tegning af minimum nominelt DKK 1000 aktier i Selskabet (eller det mindre antal, som Warrantindehaveren er blevet tildelt, eller som Warrantindehaveren fortsat ejer). Bestyrelsen er dog til enhver tid berettiget til at forhøje eller nedsætte det fastsatte minimumsnominelle beløb ved meddelelse til Warrantindehaver.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Warrantholder shall be free to choose when vested warrants shall be exercised, cf. however, clause 4.6 below regarding material breach. It is, however, a condition for exercise that the Warrantholder in a given exercise, exercises vested warrants, which provides for subscription of minimum nominal DKK 1000 shares in the Company (or such lower amount as the Warrantholder has been granted or still holds). However, the board of directors is entitled at any time to increase or reduce the fixed minimum nominal amount by notifying the Warrantholder.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4954"/>
        <w:gridCol w:w="60"/>
        <w:gridCol w:w="60"/>
        <w:gridCol w:w="4796"/>
      </w:tblGrid>
      <w:tr>
        <w:trPr/>
        <w:tc>
          <w:tcPr>
            <w:tcW w:w="335" w:type="dxa"/>
            <w:tcBorders/>
            <w:vAlign w:val="center"/>
          </w:tcPr>
          <w:p>
            <w:pPr>
              <w:pStyle w:val="TableContents"/>
              <w:bidi w:val="0"/>
              <w:spacing w:before="0" w:after="283"/>
              <w:jc w:val="left"/>
              <w:rPr>
                <w:b/>
              </w:rPr>
            </w:pPr>
            <w:r>
              <w:rPr>
                <w:b w:val="false"/>
                <w:sz w:val="20"/>
              </w:rPr>
              <w:t xml:space="preserve">4.5.  </w:t>
            </w:r>
            <w:r>
              <w:rPr>
                <w:b/>
              </w:rPr>
              <w:t> </w:t>
            </w:r>
          </w:p>
        </w:tc>
        <w:tc>
          <w:tcPr>
            <w:tcW w:w="4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warrants, som Warrantindehaveren ikke udnytter i den sidste udnyttelsesperiode, bortfalder uden yderligere varsel og uden kompensation eller vederlag af nogen art til Warrantindehaveren.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7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not exercised by the Warrantholder during the last exercise period shall become null and void without further notice and without compensation or payment of any kind to the Warrant-holder.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21"/>
        <w:gridCol w:w="5106"/>
        <w:gridCol w:w="60"/>
        <w:gridCol w:w="60"/>
        <w:gridCol w:w="4658"/>
      </w:tblGrid>
      <w:tr>
        <w:trPr/>
        <w:tc>
          <w:tcPr>
            <w:tcW w:w="321" w:type="dxa"/>
            <w:tcBorders/>
            <w:vAlign w:val="center"/>
          </w:tcPr>
          <w:p>
            <w:pPr>
              <w:pStyle w:val="TableContents"/>
              <w:bidi w:val="0"/>
              <w:spacing w:before="0" w:after="283"/>
              <w:jc w:val="left"/>
              <w:rPr>
                <w:b/>
              </w:rPr>
            </w:pPr>
            <w:r>
              <w:rPr>
                <w:b w:val="false"/>
                <w:sz w:val="20"/>
              </w:rPr>
              <w:t xml:space="preserve">4.6.  </w:t>
            </w:r>
            <w:r>
              <w:rPr>
                <w:b/>
              </w:rPr>
              <w:t> </w:t>
            </w:r>
          </w:p>
        </w:tc>
        <w:tc>
          <w:tcPr>
            <w:tcW w:w="51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Warrantindehaverens udnyttelse af warrants forudsætter som udgangspunkt, at Warrantindehaveren er bestyrelsesmedlem eller ansat i Selskabet på det tidspunkt, hvor warrants udnyttes. I tilfælde af ansættelsesforholdets ophør gælder de i punkt 5 nedenfor indeholdte bestemmelser.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Warrantholder’s exercise of warrants shall generally require that the Warrantholder is a board member in or employed by the Company at the time of exercise. In the event of termination of the employment the terms and conditions included in clause 5 below shall apply.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5"/>
        <w:gridCol w:w="5165"/>
        <w:gridCol w:w="60"/>
        <w:gridCol w:w="60"/>
        <w:gridCol w:w="4615"/>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5.    </w:t>
            </w:r>
            <w:r>
              <w:rPr>
                <w:rFonts w:ascii="Times New Roman;Times;Serif" w:hAnsi="Times New Roman;Times;Serif"/>
                <w:sz w:val="20"/>
              </w:rPr>
              <w:t> </w:t>
            </w:r>
          </w:p>
        </w:tc>
        <w:tc>
          <w:tcPr>
            <w:tcW w:w="51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FRATRÆDEN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RESIGNATION</w:t>
            </w:r>
          </w:p>
        </w:tc>
      </w:tr>
      <w:tr>
        <w:trPr/>
        <w:tc>
          <w:tcPr>
            <w:tcW w:w="305"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15" w:type="dxa"/>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left"/>
              <w:rPr>
                <w:b/>
              </w:rPr>
            </w:pPr>
            <w:r>
              <w:rPr>
                <w:b w:val="false"/>
                <w:sz w:val="20"/>
              </w:rPr>
              <w:t xml:space="preserve">5.1.  </w:t>
            </w:r>
            <w:r>
              <w:rPr>
                <w:b/>
              </w:rPr>
              <w:t> </w:t>
            </w:r>
          </w:p>
        </w:tc>
        <w:tc>
          <w:tcPr>
            <w:tcW w:w="5165" w:type="dxa"/>
            <w:tcBorders/>
            <w:vAlign w:val="center"/>
          </w:tcPr>
          <w:p>
            <w:pPr>
              <w:pStyle w:val="TableContents"/>
              <w:bidi w:val="0"/>
              <w:spacing w:before="0" w:after="283"/>
              <w:jc w:val="both"/>
              <w:rPr>
                <w:sz w:val="20"/>
              </w:rPr>
            </w:pPr>
            <w:r>
              <w:rPr>
                <w:sz w:val="20"/>
              </w:rPr>
              <w:t>Warrantindehaverens udnyttelse af optjente warrants er reguleret ovenfor i punkt 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15" w:type="dxa"/>
            <w:tcBorders/>
            <w:vAlign w:val="center"/>
          </w:tcPr>
          <w:p>
            <w:pPr>
              <w:pStyle w:val="TableContents"/>
              <w:bidi w:val="0"/>
              <w:spacing w:before="0" w:after="283"/>
              <w:jc w:val="both"/>
              <w:rPr>
                <w:sz w:val="20"/>
              </w:rPr>
            </w:pPr>
            <w:r>
              <w:rPr>
                <w:sz w:val="20"/>
              </w:rPr>
              <w:t>The Warrantholder’s exercise of vested warrants is regulated above in section 4.</w:t>
            </w:r>
          </w:p>
        </w:tc>
      </w:tr>
      <w:tr>
        <w:trPr/>
        <w:tc>
          <w:tcPr>
            <w:tcW w:w="305"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15" w:type="dxa"/>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both"/>
              <w:rPr>
                <w:sz w:val="20"/>
              </w:rPr>
            </w:pPr>
            <w:r>
              <w:rPr>
                <w:sz w:val="20"/>
              </w:rPr>
              <w:t>I tilfælde af bestyrelseshvervets eller ansættelsesforholdets ophør bevarer Warrantindehaveren retten til at udnytte warrants, som allerede er optjente på tidspunktet for bestyrelseshvervet eller ansættelsesforholdets ophør, dvs. fra og med den første dag, hvor Warrantindehaveren ikke længere har krav på at modtage honorar eller løn fra Selskabet, uanset om Warrantindehaveren faktisk ophører med at fungere på et tidligere tidspunkt, samt retten til at udnytte eventuelle warrants, som senere måtte blive optjent i henhold til punkt 3 ovenfor.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15" w:type="dxa"/>
            <w:tcBorders/>
            <w:vAlign w:val="center"/>
          </w:tcPr>
          <w:p>
            <w:pPr>
              <w:pStyle w:val="TableContents"/>
              <w:bidi w:val="0"/>
              <w:spacing w:before="0" w:after="283"/>
              <w:jc w:val="both"/>
              <w:rPr>
                <w:sz w:val="20"/>
              </w:rPr>
            </w:pPr>
            <w:r>
              <w:rPr>
                <w:sz w:val="20"/>
              </w:rPr>
              <w:t>In the event of termination of the board position or employment, the Warrant-holder keeps his/her right to exercise warrants already vested at the time the board position or employment is terminated, meaning from the first day when the Warrantholder is no longer entitled to a salary or fees from the Company, notwithstanding that the Warrantholder has actually ceased to perform his/her duties at an earlier date, as well as his/her right to exercise any warrants that may vest later pursuant to section 3 above.</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7"/>
        <w:gridCol w:w="4936"/>
        <w:gridCol w:w="60"/>
        <w:gridCol w:w="60"/>
        <w:gridCol w:w="4842"/>
      </w:tblGrid>
      <w:tr>
        <w:trPr/>
        <w:tc>
          <w:tcPr>
            <w:tcW w:w="307" w:type="dxa"/>
            <w:tcBorders/>
            <w:vAlign w:val="center"/>
          </w:tcPr>
          <w:p>
            <w:pPr>
              <w:pStyle w:val="TableContents"/>
              <w:bidi w:val="0"/>
              <w:spacing w:before="0" w:after="283"/>
              <w:jc w:val="left"/>
              <w:rPr>
                <w:b/>
              </w:rPr>
            </w:pPr>
            <w:r>
              <w:rPr>
                <w:b w:val="false"/>
                <w:sz w:val="20"/>
              </w:rPr>
              <w:t xml:space="preserve">5.2.  </w:t>
            </w:r>
            <w:r>
              <w:rPr>
                <w:b/>
              </w:rPr>
              <w:t> </w:t>
            </w:r>
          </w:p>
        </w:tc>
        <w:tc>
          <w:tcPr>
            <w:tcW w:w="4936" w:type="dxa"/>
            <w:tcBorders/>
            <w:vAlign w:val="center"/>
          </w:tcPr>
          <w:p>
            <w:pPr>
              <w:pStyle w:val="TableContents"/>
              <w:bidi w:val="0"/>
              <w:spacing w:before="0" w:after="283"/>
              <w:jc w:val="both"/>
              <w:rPr>
                <w:sz w:val="20"/>
              </w:rPr>
            </w:pPr>
            <w:r>
              <w:rPr>
                <w:sz w:val="20"/>
              </w:rPr>
              <w:t>Uanset det ovenfor anførte gælder, at såfremt bestyrelseshvervet eller ansættelsesforholdet med Warrantindehaveren bringes til ophør af Selskabet som en følge af Warrantindehaverens misligholdelse, bortfalder alle warrants (optjente og ikke-optjente) dog uden yderligere varsel og uden kompensation eller vederlag af nogen art til Warrantindehaveren.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42" w:type="dxa"/>
            <w:tcBorders/>
            <w:vAlign w:val="center"/>
          </w:tcPr>
          <w:p>
            <w:pPr>
              <w:pStyle w:val="TableContents"/>
              <w:bidi w:val="0"/>
              <w:spacing w:before="0" w:after="283"/>
              <w:jc w:val="both"/>
              <w:rPr>
                <w:sz w:val="20"/>
              </w:rPr>
            </w:pPr>
            <w:r>
              <w:rPr>
                <w:sz w:val="20"/>
              </w:rPr>
              <w:t>Irrespective of the above, if the Company terminates the board membership or employment contract due to the Warrantholder’s breach of contract, all warrants (vested and unvested) shall become null and void without further notice and without compensation or payment of any kind to the Warrantholder.</w:t>
            </w:r>
          </w:p>
        </w:tc>
      </w:tr>
      <w:tr>
        <w:trPr/>
        <w:tc>
          <w:tcPr>
            <w:tcW w:w="307" w:type="dxa"/>
            <w:tcBorders/>
            <w:vAlign w:val="center"/>
          </w:tcPr>
          <w:p>
            <w:pPr>
              <w:pStyle w:val="TableContents"/>
              <w:bidi w:val="0"/>
              <w:spacing w:before="0" w:after="283"/>
              <w:jc w:val="left"/>
              <w:rPr/>
            </w:pPr>
            <w:r>
              <w:rPr/>
              <w:t> </w:t>
            </w:r>
          </w:p>
        </w:tc>
        <w:tc>
          <w:tcPr>
            <w:tcW w:w="49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42" w:type="dxa"/>
            <w:tcBorders/>
            <w:vAlign w:val="center"/>
          </w:tcPr>
          <w:p>
            <w:pPr>
              <w:pStyle w:val="TableContents"/>
              <w:bidi w:val="0"/>
              <w:spacing w:before="0" w:after="283"/>
              <w:jc w:val="both"/>
              <w:rPr/>
            </w:pPr>
            <w:r>
              <w:rPr/>
              <w:t> </w:t>
            </w:r>
          </w:p>
        </w:tc>
      </w:tr>
      <w:tr>
        <w:trPr/>
        <w:tc>
          <w:tcPr>
            <w:tcW w:w="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6.    </w:t>
            </w:r>
            <w:r>
              <w:rPr>
                <w:rFonts w:ascii="Times New Roman;Times;Serif" w:hAnsi="Times New Roman;Times;Serif"/>
                <w:sz w:val="20"/>
              </w:rPr>
              <w:t> </w:t>
            </w:r>
          </w:p>
        </w:tc>
        <w:tc>
          <w:tcPr>
            <w:tcW w:w="493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JUSTERING AF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4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ADJUSTMENT OF WARRANTS</w:t>
            </w:r>
          </w:p>
        </w:tc>
      </w:tr>
      <w:tr>
        <w:trPr/>
        <w:tc>
          <w:tcPr>
            <w:tcW w:w="307" w:type="dxa"/>
            <w:tcBorders/>
            <w:vAlign w:val="center"/>
          </w:tcPr>
          <w:p>
            <w:pPr>
              <w:pStyle w:val="TableContents"/>
              <w:bidi w:val="0"/>
              <w:spacing w:before="0" w:after="283"/>
              <w:jc w:val="left"/>
              <w:rPr/>
            </w:pPr>
            <w:r>
              <w:rPr/>
              <w:t> </w:t>
            </w:r>
          </w:p>
        </w:tc>
        <w:tc>
          <w:tcPr>
            <w:tcW w:w="49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42" w:type="dxa"/>
            <w:tcBorders/>
            <w:vAlign w:val="center"/>
          </w:tcPr>
          <w:p>
            <w:pPr>
              <w:pStyle w:val="TableContents"/>
              <w:bidi w:val="0"/>
              <w:spacing w:before="0" w:after="283"/>
              <w:jc w:val="both"/>
              <w:rPr/>
            </w:pPr>
            <w:r>
              <w:rPr/>
              <w:t> </w:t>
            </w:r>
          </w:p>
        </w:tc>
      </w:tr>
      <w:tr>
        <w:trPr/>
        <w:tc>
          <w:tcPr>
            <w:tcW w:w="307" w:type="dxa"/>
            <w:tcBorders/>
            <w:vAlign w:val="center"/>
          </w:tcPr>
          <w:p>
            <w:pPr>
              <w:pStyle w:val="TableContents"/>
              <w:bidi w:val="0"/>
              <w:spacing w:before="0" w:after="283"/>
              <w:jc w:val="left"/>
              <w:rPr>
                <w:b/>
              </w:rPr>
            </w:pPr>
            <w:r>
              <w:rPr>
                <w:b w:val="false"/>
                <w:sz w:val="20"/>
              </w:rPr>
              <w:t xml:space="preserve">6.1.  </w:t>
            </w:r>
            <w:r>
              <w:rPr>
                <w:b/>
              </w:rPr>
              <w:t> </w:t>
            </w:r>
          </w:p>
        </w:tc>
        <w:tc>
          <w:tcPr>
            <w:tcW w:w="4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der sker ændringer i Selskabets kapitalforhold, der medfører en ændring af den potentielle gevinstmulighed, der er knyttet til en warrant, skal warrants justeres i henhold til nærværende punkt 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Company’s capital structure causing a change of the potential possibility of gain attached to a warrant shall require an adjustment of the warrants in accordance with this clause 6.</w:t>
            </w:r>
          </w:p>
        </w:tc>
      </w:tr>
      <w:tr>
        <w:trPr/>
        <w:tc>
          <w:tcPr>
            <w:tcW w:w="307" w:type="dxa"/>
            <w:tcBorders/>
            <w:vAlign w:val="center"/>
          </w:tcPr>
          <w:p>
            <w:pPr>
              <w:pStyle w:val="TableContents"/>
              <w:bidi w:val="0"/>
              <w:spacing w:before="0" w:after="283"/>
              <w:jc w:val="left"/>
              <w:rPr/>
            </w:pPr>
            <w:r>
              <w:rPr/>
              <w:t> </w:t>
            </w:r>
          </w:p>
        </w:tc>
        <w:tc>
          <w:tcPr>
            <w:tcW w:w="49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42" w:type="dxa"/>
            <w:tcBorders/>
            <w:vAlign w:val="center"/>
          </w:tcPr>
          <w:p>
            <w:pPr>
              <w:pStyle w:val="TableContents"/>
              <w:bidi w:val="0"/>
              <w:spacing w:before="0" w:after="283"/>
              <w:jc w:val="both"/>
              <w:rPr/>
            </w:pPr>
            <w:r>
              <w:rPr/>
              <w:t> </w:t>
            </w:r>
          </w:p>
        </w:tc>
      </w:tr>
      <w:tr>
        <w:trPr/>
        <w:tc>
          <w:tcPr>
            <w:tcW w:w="307" w:type="dxa"/>
            <w:tcBorders/>
            <w:vAlign w:val="center"/>
          </w:tcPr>
          <w:p>
            <w:pPr>
              <w:pStyle w:val="TableContents"/>
              <w:bidi w:val="0"/>
              <w:spacing w:before="0" w:after="283"/>
              <w:jc w:val="left"/>
              <w:rPr>
                <w:b/>
              </w:rPr>
            </w:pPr>
            <w:r>
              <w:rPr>
                <w:b w:val="false"/>
                <w:sz w:val="20"/>
              </w:rPr>
              <w:t xml:space="preserve">6.2.  </w:t>
            </w:r>
            <w:r>
              <w:rPr>
                <w:b/>
              </w:rPr>
              <w:t> </w:t>
            </w:r>
          </w:p>
        </w:tc>
        <w:tc>
          <w:tcPr>
            <w:tcW w:w="4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 justering skal ske, således at den potentielle gevinstmulighed, der er knyttet til en warrant, så vidt muligt er den samme som før og efter indtræden af den hændelse, der begrunder justeringen. Justeringen gennemføres med bistand fra Selskabets eksterne rådgiver. Justeringen kan ske enten ved en forøgelse eller en formindskelse af det antal aktier, der kan udstedes i henhold til en warrant, og/eller en forøgelse eller formindskelse af udnyttelseskursen.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Adjustments shall be made so that the potential possibility of gain attached to a warrant, in so far as possible, shall remain the same before and after the occurrence of the incident causing the adjustment. The adjustment shall be carried out with the assistance of the Company’s external advisor. The adjustment may be effected either by an increase or decrease of the number of shares that can be issued following an exercise of a warrant and/or an increase or decrease of the exercise price.</w:t>
            </w:r>
          </w:p>
        </w:tc>
      </w:tr>
      <w:tr>
        <w:trPr/>
        <w:tc>
          <w:tcPr>
            <w:tcW w:w="307" w:type="dxa"/>
            <w:tcBorders/>
            <w:vAlign w:val="center"/>
          </w:tcPr>
          <w:p>
            <w:pPr>
              <w:pStyle w:val="TableContents"/>
              <w:bidi w:val="0"/>
              <w:spacing w:before="0" w:after="283"/>
              <w:jc w:val="left"/>
              <w:rPr/>
            </w:pPr>
            <w:r>
              <w:rPr/>
              <w:t> </w:t>
            </w:r>
          </w:p>
        </w:tc>
        <w:tc>
          <w:tcPr>
            <w:tcW w:w="49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42" w:type="dxa"/>
            <w:tcBorders/>
            <w:vAlign w:val="center"/>
          </w:tcPr>
          <w:p>
            <w:pPr>
              <w:pStyle w:val="TableContents"/>
              <w:bidi w:val="0"/>
              <w:spacing w:before="0" w:after="283"/>
              <w:jc w:val="both"/>
              <w:rPr/>
            </w:pPr>
            <w:r>
              <w:rPr/>
              <w:t> </w:t>
            </w:r>
          </w:p>
        </w:tc>
      </w:tr>
      <w:tr>
        <w:trPr/>
        <w:tc>
          <w:tcPr>
            <w:tcW w:w="307" w:type="dxa"/>
            <w:tcBorders/>
            <w:vAlign w:val="center"/>
          </w:tcPr>
          <w:p>
            <w:pPr>
              <w:pStyle w:val="TableContents"/>
              <w:bidi w:val="0"/>
              <w:spacing w:before="0" w:after="283"/>
              <w:jc w:val="left"/>
              <w:rPr/>
            </w:pPr>
            <w:r>
              <w:rPr/>
              <w:t> </w:t>
            </w:r>
          </w:p>
        </w:tc>
        <w:tc>
          <w:tcPr>
            <w:tcW w:w="4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Såfremt en justering af warrants beregnet i henhold til punkt 6.4 – 6.11 nedenfor, eksempelvis grundet ændringer i selskabets kapitalforhold, medfører, at den potentielle gevinstmulighed, der er knyttet til en warrant, ikke er den samme efter indtræden af den hændelse, der begrunder justeringen, skal Selskabets revisor være berettiget til at foretage de nødvendige tilpasninger til beregningsformlerne for at opnå det tilsigtede resultat.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4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adjustment of warrants calculated pursuant to section 6.4 – 6.11 below, for example due to changes in the company’s capital structure, results in the potential gain attached with a warrant not being the same after the occurrence of the incident justifying the adjustment, the Company’s auditor shall be entitled to make the necessary adjustments to the calculation formulas to achieve the intended result.</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8"/>
        <w:gridCol w:w="5369"/>
        <w:gridCol w:w="60"/>
        <w:gridCol w:w="60"/>
        <w:gridCol w:w="4418"/>
      </w:tblGrid>
      <w:tr>
        <w:trPr/>
        <w:tc>
          <w:tcPr>
            <w:tcW w:w="298" w:type="dxa"/>
            <w:tcBorders/>
            <w:vAlign w:val="center"/>
          </w:tcPr>
          <w:p>
            <w:pPr>
              <w:pStyle w:val="TableContents"/>
              <w:bidi w:val="0"/>
              <w:spacing w:before="0" w:after="283"/>
              <w:jc w:val="left"/>
              <w:rPr>
                <w:b/>
              </w:rPr>
            </w:pPr>
            <w:r>
              <w:rPr>
                <w:b w:val="false"/>
                <w:sz w:val="20"/>
              </w:rPr>
              <w:t xml:space="preserve">6.3.  </w:t>
            </w:r>
            <w:r>
              <w:rPr>
                <w:b/>
              </w:rPr>
              <w:t> </w:t>
            </w:r>
          </w:p>
        </w:tc>
        <w:tc>
          <w:tcPr>
            <w:tcW w:w="53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Selskabets udstedelse af medarbejderaktier, aktieoptioner og/eller yderligere warrants som led i medarbejderaktieordninger (herunder til bestyrelsesmedlemmer) såvel som senere udnyttelse af sådanne optioner og/eller warrants, medfører ikke krav på justering af warrants. Den kapitalforhøjelse, der finder sted som følge af Warrantindehavernes udnyttelse af warrants i Selskabet, medfører heller ikke justering af warrants. Herudover skal warrantindehaveren, uanset punkt 6.5, ikke være berettiget til justering, såfremt der sker aktieudstedelser til under markedskurs, som en følge af eksempelvis udvandingsbestemmelser i den for Selskabets aktionærers gældende ejeraftale som medfører en udvanding af Selskabets ordinære aktier eller ved konvertering af konvertible obligationer, som blev udstedt til markedskurs, uanset, at selve konverteringen sker til favørkurs på konverteringstidspunktet.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4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shall not be adjusted as a result of the Company’s issue of additional employee shares, share options and/or warrants as part of employee share option program (including options to board members) as well as future exercise of such options and/or warrants. Warrants shall, furthermore, not be adjusted as a result of capital increases following the Warrantholders’ and others’ exercise of warrants in the Company. In addition the Warrantholder shall, irrespective of clause 6.5, not be entitled to adjustments in the event of capital increases below market price if e.g. anti-dilution provisions in the shareholders´ agreement for the Company´s shareholders results in a dilution of the Company´s ordinary shares or in connection with convertible bonds, issued at market price, irrespective of whether the conversion itself takes place at a discount upon conversion.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9"/>
        <w:gridCol w:w="4841"/>
        <w:gridCol w:w="60"/>
        <w:gridCol w:w="60"/>
        <w:gridCol w:w="4925"/>
      </w:tblGrid>
      <w:tr>
        <w:trPr/>
        <w:tc>
          <w:tcPr>
            <w:tcW w:w="319" w:type="dxa"/>
            <w:tcBorders/>
            <w:vAlign w:val="center"/>
          </w:tcPr>
          <w:p>
            <w:pPr>
              <w:pStyle w:val="TableContents"/>
              <w:bidi w:val="0"/>
              <w:spacing w:before="0" w:after="283"/>
              <w:jc w:val="both"/>
              <w:rPr/>
            </w:pPr>
            <w:r>
              <w:rPr/>
              <w:t> </w:t>
            </w:r>
          </w:p>
        </w:tc>
        <w:tc>
          <w:tcPr>
            <w:tcW w:w="48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Enhver regulering af udnyttelseskursen og/eller det antal aktier som kan tegnes ved udnyttelse af warrants i henhold til dette pkt. 6 skal alene gælde for warrants, som endnu ikke er udnyttet på det tidspunkt, der medfører en regulering. Allerede udnyttede warrants påvirkes ikke af reguleringer.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adjustments of the exercise price and/or and/or the number of shares that can be subscribed for by exercising the warrants pursuant to this clause 6 shall only apply to warrants not exercised by the Warrantholder at the time of the event triggering the adjustment. No adjustment shall affect already exercised warrants.</w:t>
            </w:r>
          </w:p>
        </w:tc>
      </w:tr>
      <w:tr>
        <w:trPr/>
        <w:tc>
          <w:tcPr>
            <w:tcW w:w="319" w:type="dxa"/>
            <w:tcBorders/>
            <w:vAlign w:val="center"/>
          </w:tcPr>
          <w:p>
            <w:pPr>
              <w:pStyle w:val="TableContents"/>
              <w:bidi w:val="0"/>
              <w:spacing w:before="0" w:after="283"/>
              <w:jc w:val="both"/>
              <w:rPr/>
            </w:pPr>
            <w:r>
              <w:rPr/>
              <w:t> </w:t>
            </w:r>
          </w:p>
        </w:tc>
        <w:tc>
          <w:tcPr>
            <w:tcW w:w="484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pPr>
            <w:r>
              <w:rPr/>
              <w:t> </w:t>
            </w:r>
          </w:p>
        </w:tc>
      </w:tr>
      <w:tr>
        <w:trPr/>
        <w:tc>
          <w:tcPr>
            <w:tcW w:w="319" w:type="dxa"/>
            <w:tcBorders/>
            <w:vAlign w:val="center"/>
          </w:tcPr>
          <w:p>
            <w:pPr>
              <w:pStyle w:val="TableContents"/>
              <w:bidi w:val="0"/>
              <w:spacing w:before="0" w:after="283"/>
              <w:jc w:val="left"/>
              <w:rPr>
                <w:b/>
              </w:rPr>
            </w:pPr>
            <w:r>
              <w:rPr>
                <w:b w:val="false"/>
                <w:sz w:val="20"/>
              </w:rPr>
              <w:t xml:space="preserve">6.4.  </w:t>
            </w:r>
            <w:r>
              <w:rPr>
                <w:b/>
              </w:rPr>
              <w:t> </w:t>
            </w:r>
          </w:p>
        </w:tc>
        <w:tc>
          <w:tcPr>
            <w:tcW w:w="4841" w:type="dxa"/>
            <w:tcBorders/>
            <w:vAlign w:val="center"/>
          </w:tcPr>
          <w:p>
            <w:pPr>
              <w:pStyle w:val="TableContents"/>
              <w:bidi w:val="0"/>
              <w:spacing w:before="0" w:after="283"/>
              <w:jc w:val="both"/>
              <w:rPr>
                <w:rFonts w:ascii="Times New Roman;Times;Serif" w:hAnsi="Times New Roman;Times;Serif"/>
                <w:b w:val="false"/>
                <w:sz w:val="20"/>
                <w:u w:val="single"/>
              </w:rPr>
            </w:pPr>
            <w:r>
              <w:rPr>
                <w:rFonts w:ascii="Times New Roman;Times;Serif" w:hAnsi="Times New Roman;Times;Serif"/>
                <w:b w:val="false"/>
                <w:sz w:val="20"/>
                <w:u w:val="single"/>
              </w:rPr>
              <w:t>Fondsaktier: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Bonus Shares</w:t>
            </w:r>
          </w:p>
        </w:tc>
      </w:tr>
      <w:tr>
        <w:trPr/>
        <w:tc>
          <w:tcPr>
            <w:tcW w:w="319" w:type="dxa"/>
            <w:tcBorders/>
            <w:vAlign w:val="center"/>
          </w:tcPr>
          <w:p>
            <w:pPr>
              <w:pStyle w:val="TableContents"/>
              <w:bidi w:val="0"/>
              <w:spacing w:before="0" w:after="283"/>
              <w:jc w:val="both"/>
              <w:rPr/>
            </w:pPr>
            <w:r>
              <w:rPr/>
              <w:t> </w:t>
            </w:r>
          </w:p>
        </w:tc>
        <w:tc>
          <w:tcPr>
            <w:tcW w:w="484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pPr>
            <w:r>
              <w:rPr/>
              <w:t> </w:t>
            </w:r>
          </w:p>
        </w:tc>
      </w:tr>
      <w:tr>
        <w:trPr/>
        <w:tc>
          <w:tcPr>
            <w:tcW w:w="319" w:type="dxa"/>
            <w:tcBorders/>
            <w:vAlign w:val="center"/>
          </w:tcPr>
          <w:p>
            <w:pPr>
              <w:pStyle w:val="TableContents"/>
              <w:bidi w:val="0"/>
              <w:spacing w:before="0" w:after="283"/>
              <w:jc w:val="both"/>
              <w:rPr/>
            </w:pPr>
            <w:r>
              <w:rPr/>
              <w:t> </w:t>
            </w:r>
          </w:p>
        </w:tc>
        <w:tc>
          <w:tcPr>
            <w:tcW w:w="48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det besluttes at udstede fondsaktier i Selskabet, skal warrants justeres således: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it is decided to issue bonus shares in the Company, warrants shall be adjusted as follows:</w:t>
            </w:r>
          </w:p>
        </w:tc>
      </w:tr>
      <w:tr>
        <w:trPr/>
        <w:tc>
          <w:tcPr>
            <w:tcW w:w="319" w:type="dxa"/>
            <w:tcBorders/>
            <w:vAlign w:val="center"/>
          </w:tcPr>
          <w:p>
            <w:pPr>
              <w:pStyle w:val="TableContents"/>
              <w:bidi w:val="0"/>
              <w:spacing w:before="0" w:after="283"/>
              <w:jc w:val="both"/>
              <w:rPr/>
            </w:pPr>
            <w:r>
              <w:rPr/>
              <w:t> </w:t>
            </w:r>
          </w:p>
        </w:tc>
        <w:tc>
          <w:tcPr>
            <w:tcW w:w="484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pPr>
            <w:r>
              <w:rPr/>
              <w:t> </w:t>
            </w:r>
          </w:p>
        </w:tc>
      </w:tr>
      <w:tr>
        <w:trPr/>
        <w:tc>
          <w:tcPr>
            <w:tcW w:w="319" w:type="dxa"/>
            <w:tcBorders/>
            <w:vAlign w:val="center"/>
          </w:tcPr>
          <w:p>
            <w:pPr>
              <w:pStyle w:val="TableContents"/>
              <w:bidi w:val="0"/>
              <w:spacing w:before="0" w:after="283"/>
              <w:jc w:val="both"/>
              <w:rPr/>
            </w:pPr>
            <w:r>
              <w:rPr/>
              <w:t> </w:t>
            </w:r>
          </w:p>
        </w:tc>
        <w:tc>
          <w:tcPr>
            <w:tcW w:w="48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Udnyttelsesprisen på enhver endnu ikke udnyttet warrant ganges med faktoren: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for each warrant not yet exercised shall be multiplied by the factor:</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375"/>
        <w:gridCol w:w="60"/>
        <w:gridCol w:w="60"/>
        <w:gridCol w:w="5635"/>
      </w:tblGrid>
      <w:tr>
        <w:trPr/>
        <w:tc>
          <w:tcPr>
            <w:tcW w:w="75" w:type="dxa"/>
            <w:tcBorders/>
            <w:vAlign w:val="center"/>
          </w:tcPr>
          <w:p>
            <w:pPr>
              <w:pStyle w:val="TableContents"/>
              <w:bidi w:val="0"/>
              <w:spacing w:before="0" w:after="283"/>
              <w:jc w:val="both"/>
              <w:rPr/>
            </w:pPr>
            <w:r>
              <w:rPr/>
              <w:t> </w:t>
            </w:r>
          </w:p>
        </w:tc>
        <w:tc>
          <w:tcPr>
            <w:tcW w:w="43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a</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    A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 antallet af endnu ikke udnyttede warrants ganges med faktoren: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w:t>
            </w:r>
          </w:p>
          <w:p>
            <w:pPr>
              <w:pStyle w:val="TableContents"/>
              <w:bidi w:val="0"/>
              <w:spacing w:before="0" w:after="0"/>
              <w:ind w:left="0" w:right="0" w:hanging="0"/>
              <w:jc w:val="both"/>
              <w:rPr>
                <w:rFonts w:ascii="Symbol" w:hAnsi="Symbol"/>
                <w:b w:val="false"/>
                <w:i w:val="false"/>
                <w:caps w:val="false"/>
                <w:smallCaps w:val="false"/>
                <w:sz w:val="20"/>
              </w:rPr>
            </w:pPr>
            <w:r>
              <w:rPr>
                <w:rFonts w:ascii="Symbol" w:hAnsi="Symbol"/>
                <w:b w:val="false"/>
                <w:i w:val="false"/>
                <w:caps w:val="false"/>
                <w:smallCaps w:val="false"/>
                <w:sz w:val="20"/>
              </w:rPr>
              <w:t>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hvor: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den nominelle aktiekapital før udstedelsen af fondsaktier, og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den samlede nominelle værdi på fondsaktierne.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6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a</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    A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number of warrants not yet exercised shall be multiplied by the factor: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w:t>
            </w:r>
          </w:p>
          <w:p>
            <w:pPr>
              <w:pStyle w:val="TableContents"/>
              <w:bidi w:val="0"/>
              <w:spacing w:before="0" w:after="0"/>
              <w:ind w:left="0" w:right="0" w:hanging="0"/>
              <w:jc w:val="both"/>
              <w:rPr>
                <w:rFonts w:ascii="Symbol" w:hAnsi="Symbol"/>
                <w:b w:val="false"/>
                <w:i w:val="false"/>
                <w:caps w:val="false"/>
                <w:smallCaps w:val="false"/>
                <w:sz w:val="20"/>
              </w:rPr>
            </w:pPr>
            <w:r>
              <w:rPr>
                <w:rFonts w:ascii="Symbol" w:hAnsi="Symbol"/>
                <w:b w:val="false"/>
                <w:i w:val="false"/>
                <w:caps w:val="false"/>
                <w:smallCaps w:val="false"/>
                <w:sz w:val="20"/>
              </w:rPr>
              <w:t>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the nominal share capital before issue of bonus shares,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total nominal value of bonus shares.</w:t>
            </w:r>
          </w:p>
        </w:tc>
      </w:tr>
      <w:tr>
        <w:trPr/>
        <w:tc>
          <w:tcPr>
            <w:tcW w:w="75" w:type="dxa"/>
            <w:tcBorders/>
            <w:vAlign w:val="center"/>
          </w:tcPr>
          <w:p>
            <w:pPr>
              <w:pStyle w:val="TableContents"/>
              <w:bidi w:val="0"/>
              <w:spacing w:before="0" w:after="283"/>
              <w:jc w:val="both"/>
              <w:rPr/>
            </w:pPr>
            <w:r>
              <w:rPr/>
              <w:t> </w:t>
            </w:r>
          </w:p>
        </w:tc>
        <w:tc>
          <w:tcPr>
            <w:tcW w:w="43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6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det justerede antal aktier ikke er et helt tal, skal der afrundes nedad til det nærmeste hele 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adjusted number of shares does not amount to a whole number, the number shall be rounded down to the nearest whole number.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6"/>
        <w:gridCol w:w="4930"/>
        <w:gridCol w:w="60"/>
        <w:gridCol w:w="60"/>
        <w:gridCol w:w="4819"/>
      </w:tblGrid>
      <w:tr>
        <w:trPr/>
        <w:tc>
          <w:tcPr>
            <w:tcW w:w="336" w:type="dxa"/>
            <w:tcBorders/>
            <w:vAlign w:val="center"/>
          </w:tcPr>
          <w:p>
            <w:pPr>
              <w:pStyle w:val="TableContents"/>
              <w:bidi w:val="0"/>
              <w:spacing w:before="0" w:after="283"/>
              <w:jc w:val="left"/>
              <w:rPr>
                <w:b/>
              </w:rPr>
            </w:pPr>
            <w:r>
              <w:rPr>
                <w:b w:val="false"/>
                <w:sz w:val="20"/>
              </w:rPr>
              <w:t xml:space="preserve">6.5.  </w:t>
            </w:r>
            <w:r>
              <w:rPr>
                <w:b/>
              </w:rPr>
              <w:t> </w:t>
            </w:r>
          </w:p>
        </w:tc>
        <w:tc>
          <w:tcPr>
            <w:tcW w:w="493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Kapitalændringer til en anden kurs end markedskursen: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19"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Changes of capital at a price different from the market price:</w:t>
            </w:r>
          </w:p>
        </w:tc>
      </w:tr>
      <w:tr>
        <w:trPr/>
        <w:tc>
          <w:tcPr>
            <w:tcW w:w="336" w:type="dxa"/>
            <w:tcBorders/>
            <w:vAlign w:val="center"/>
          </w:tcPr>
          <w:p>
            <w:pPr>
              <w:pStyle w:val="TableContents"/>
              <w:bidi w:val="0"/>
              <w:spacing w:before="0" w:after="283"/>
              <w:jc w:val="left"/>
              <w:rPr/>
            </w:pPr>
            <w:r>
              <w:rPr/>
              <w:t> </w:t>
            </w:r>
          </w:p>
        </w:tc>
        <w:tc>
          <w:tcPr>
            <w:tcW w:w="49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19" w:type="dxa"/>
            <w:tcBorders/>
            <w:vAlign w:val="center"/>
          </w:tcPr>
          <w:p>
            <w:pPr>
              <w:pStyle w:val="TableContents"/>
              <w:bidi w:val="0"/>
              <w:spacing w:before="0" w:after="283"/>
              <w:jc w:val="both"/>
              <w:rPr/>
            </w:pPr>
            <w:r>
              <w:rPr/>
              <w:t> </w:t>
            </w:r>
          </w:p>
        </w:tc>
      </w:tr>
      <w:tr>
        <w:trPr/>
        <w:tc>
          <w:tcPr>
            <w:tcW w:w="336" w:type="dxa"/>
            <w:tcBorders/>
            <w:vAlign w:val="center"/>
          </w:tcPr>
          <w:p>
            <w:pPr>
              <w:pStyle w:val="TableContents"/>
              <w:bidi w:val="0"/>
              <w:spacing w:before="0" w:after="283"/>
              <w:jc w:val="both"/>
              <w:rPr/>
            </w:pPr>
            <w:r>
              <w:rPr/>
              <w:t> </w:t>
            </w:r>
          </w:p>
        </w:tc>
        <w:tc>
          <w:tcPr>
            <w:tcW w:w="4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det besluttes at forhøje eller nedsætte aktiekapitalen i Selskabet til en kurs under markedskursen (vedrørende kapitalnedsættelser også til over markedskursen), skal warrants justeres således: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it is decided to increase or decrease the share capital in the Company at a price below the market price (in relation to capital decreases also above the market price), warrants shall be adjusted as follows:</w:t>
            </w:r>
          </w:p>
        </w:tc>
      </w:tr>
      <w:tr>
        <w:trPr/>
        <w:tc>
          <w:tcPr>
            <w:tcW w:w="336" w:type="dxa"/>
            <w:tcBorders/>
            <w:vAlign w:val="center"/>
          </w:tcPr>
          <w:p>
            <w:pPr>
              <w:pStyle w:val="TableContents"/>
              <w:bidi w:val="0"/>
              <w:spacing w:before="0" w:after="283"/>
              <w:jc w:val="both"/>
              <w:rPr/>
            </w:pPr>
            <w:r>
              <w:rPr/>
              <w:t> </w:t>
            </w:r>
          </w:p>
        </w:tc>
        <w:tc>
          <w:tcPr>
            <w:tcW w:w="49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19" w:type="dxa"/>
            <w:tcBorders/>
            <w:vAlign w:val="center"/>
          </w:tcPr>
          <w:p>
            <w:pPr>
              <w:pStyle w:val="TableContents"/>
              <w:bidi w:val="0"/>
              <w:spacing w:before="0" w:after="283"/>
              <w:jc w:val="both"/>
              <w:rPr/>
            </w:pPr>
            <w:r>
              <w:rPr/>
              <w:t> </w:t>
            </w:r>
          </w:p>
        </w:tc>
      </w:tr>
      <w:tr>
        <w:trPr/>
        <w:tc>
          <w:tcPr>
            <w:tcW w:w="336" w:type="dxa"/>
            <w:tcBorders/>
            <w:vAlign w:val="center"/>
          </w:tcPr>
          <w:p>
            <w:pPr>
              <w:pStyle w:val="TableContents"/>
              <w:bidi w:val="0"/>
              <w:spacing w:before="0" w:after="283"/>
              <w:jc w:val="both"/>
              <w:rPr/>
            </w:pPr>
            <w:r>
              <w:rPr/>
              <w:t> </w:t>
            </w:r>
          </w:p>
        </w:tc>
        <w:tc>
          <w:tcPr>
            <w:tcW w:w="4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Udnyttelsesprisen på enhver endnu ikke udnyttet warrant ganges med faktoren: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for each non-exercised warrants shall be multiplied by the factor:</w:t>
            </w:r>
          </w:p>
        </w:tc>
      </w:tr>
      <w:tr>
        <w:trPr/>
        <w:tc>
          <w:tcPr>
            <w:tcW w:w="336" w:type="dxa"/>
            <w:tcBorders/>
            <w:vAlign w:val="center"/>
          </w:tcPr>
          <w:p>
            <w:pPr>
              <w:pStyle w:val="TableContents"/>
              <w:bidi w:val="0"/>
              <w:spacing w:before="0" w:after="283"/>
              <w:jc w:val="both"/>
              <w:rPr/>
            </w:pPr>
            <w:r>
              <w:rPr/>
              <w:t> </w:t>
            </w:r>
          </w:p>
        </w:tc>
        <w:tc>
          <w:tcPr>
            <w:tcW w:w="49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19" w:type="dxa"/>
            <w:tcBorders/>
            <w:vAlign w:val="center"/>
          </w:tcPr>
          <w:p>
            <w:pPr>
              <w:pStyle w:val="TableContents"/>
              <w:bidi w:val="0"/>
              <w:spacing w:before="0" w:after="283"/>
              <w:jc w:val="both"/>
              <w:rPr/>
            </w:pPr>
            <w:r>
              <w:rPr/>
              <w:t> </w:t>
            </w:r>
          </w:p>
        </w:tc>
      </w:tr>
      <w:tr>
        <w:trPr/>
        <w:tc>
          <w:tcPr>
            <w:tcW w:w="336" w:type="dxa"/>
            <w:tcBorders/>
            <w:vAlign w:val="center"/>
          </w:tcPr>
          <w:p>
            <w:pPr>
              <w:pStyle w:val="TableContents"/>
              <w:bidi w:val="0"/>
              <w:spacing w:before="0" w:after="283"/>
              <w:jc w:val="both"/>
              <w:rPr/>
            </w:pPr>
            <w:r>
              <w:rPr/>
              <w:t> </w:t>
            </w:r>
          </w:p>
        </w:tc>
        <w:tc>
          <w:tcPr>
            <w:tcW w:w="49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a</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 xml:space="preserve">(A x K) + (B x T) </w:t>
            </w:r>
          </w:p>
          <w:p>
            <w:pPr>
              <w:pStyle w:val="TableContents"/>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(A+B) x K</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 antallet af endnu ikke udnyttede warrants ganges med faktoren: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w:t>
            </w:r>
          </w:p>
          <w:p>
            <w:pPr>
              <w:pStyle w:val="TableContents"/>
              <w:bidi w:val="0"/>
              <w:spacing w:before="0" w:after="0"/>
              <w:ind w:left="0" w:right="0" w:hanging="0"/>
              <w:jc w:val="both"/>
              <w:rPr>
                <w:rFonts w:ascii="Symbol" w:hAnsi="Symbol"/>
                <w:b w:val="false"/>
                <w:i w:val="false"/>
                <w:caps w:val="false"/>
                <w:smallCaps w:val="false"/>
                <w:sz w:val="20"/>
              </w:rPr>
            </w:pPr>
            <w:r>
              <w:rPr>
                <w:rFonts w:ascii="Symbol" w:hAnsi="Symbol"/>
                <w:b w:val="false"/>
                <w:i w:val="false"/>
                <w:caps w:val="false"/>
                <w:smallCaps w:val="false"/>
                <w:sz w:val="20"/>
              </w:rPr>
              <w:t>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hvor: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den nominelle aktiekapital før ændringen i kapitalen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den nominelle ændring i aktiekapitalen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 aktiens markedskurs / lukkekurs dagen forinden annoncering af ændringen i aktiekapitalen, og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 tegningskurs/nedsættelseskurs ved ændringen i aktiekapitalen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a</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A x K) + (B x T)</w:t>
            </w:r>
          </w:p>
          <w:p>
            <w:pPr>
              <w:pStyle w:val="TableContents"/>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(A+B) x K</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number of non-exercised warrants shall be multiplied by the factor: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w:t>
            </w:r>
          </w:p>
          <w:p>
            <w:pPr>
              <w:pStyle w:val="TableContents"/>
              <w:bidi w:val="0"/>
              <w:spacing w:before="0" w:after="0"/>
              <w:ind w:left="0" w:right="0" w:hanging="0"/>
              <w:jc w:val="both"/>
              <w:rPr>
                <w:rFonts w:ascii="Symbol" w:hAnsi="Symbol"/>
                <w:b w:val="false"/>
                <w:i w:val="false"/>
                <w:caps w:val="false"/>
                <w:smallCaps w:val="false"/>
                <w:sz w:val="20"/>
              </w:rPr>
            </w:pPr>
            <w:r>
              <w:rPr>
                <w:rFonts w:ascii="Symbol" w:hAnsi="Symbol"/>
                <w:b w:val="false"/>
                <w:i w:val="false"/>
                <w:caps w:val="false"/>
                <w:smallCaps w:val="false"/>
                <w:sz w:val="20"/>
              </w:rPr>
              <w:t>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nominal share capital before the change in capital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nominal change in the share capital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 market price / closing price of the share on the day prior to the announcement of the change in the share capital,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 subscription price/reduction price in relation to the change in the share capital</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5392"/>
        <w:gridCol w:w="60"/>
        <w:gridCol w:w="60"/>
        <w:gridCol w:w="4618"/>
      </w:tblGrid>
      <w:tr>
        <w:trPr/>
        <w:tc>
          <w:tcPr>
            <w:tcW w:w="75" w:type="dxa"/>
            <w:tcBorders/>
            <w:vAlign w:val="center"/>
          </w:tcPr>
          <w:p>
            <w:pPr>
              <w:pStyle w:val="TableContents"/>
              <w:bidi w:val="0"/>
              <w:spacing w:before="0" w:after="283"/>
              <w:jc w:val="both"/>
              <w:rPr/>
            </w:pPr>
            <w:r>
              <w:rPr/>
              <w:t> </w:t>
            </w:r>
          </w:p>
        </w:tc>
        <w:tc>
          <w:tcPr>
            <w:tcW w:w="53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det det justerede antal aktier ikke er et helt tal, skal der afrundes nedad til det nærmeste hele 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adjusted number of shares does not amount to whole numbers, each number shall be rounded down to the nearest whole number.</w:t>
            </w:r>
          </w:p>
        </w:tc>
      </w:tr>
      <w:tr>
        <w:trPr/>
        <w:tc>
          <w:tcPr>
            <w:tcW w:w="75" w:type="dxa"/>
            <w:tcBorders/>
            <w:vAlign w:val="center"/>
          </w:tcPr>
          <w:p>
            <w:pPr>
              <w:pStyle w:val="TableContents"/>
              <w:bidi w:val="0"/>
              <w:spacing w:before="0" w:after="283"/>
              <w:jc w:val="both"/>
              <w:rPr/>
            </w:pPr>
            <w:r>
              <w:rPr/>
              <w:t> </w:t>
            </w:r>
          </w:p>
        </w:tc>
        <w:tc>
          <w:tcPr>
            <w:tcW w:w="539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3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Der skal ikke ske regulering i tilfælde af fravigelser fra den noterede kurs i forbindelse med rettede emissioner, såfremt bestyrelsen efter samråd fra medvirkende investeringsbanker vurderer, at tegningskursen svarer til markedskursen, uagtet at den noterede kurs er højere. Gennemføres der en fortegningsretsemission til favørkurs skal justeringen, medmindre bestyrelsen beslutter andet, foretages baseret på den noterede kurs på Selskabets kapitalandele dagen før offentliggørelsen af fortegningsretsemissionen til markedet. Bestyrelsen er i den forbindelse berettiget til at tage hensyn til kursudviklingen på Selskabets aktier i perioden fra offentliggørelse af fortegningsretsemissionen og frem til og med gennemførelsen af fortegningsretsemissionen. En eventuel regulering foretages af bestyrelsen efter med gennemførelsen af fortegningsretsemissionen.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adjustments shall take place, in the event that the deviation from the listed price in connection with directed share issue to the extent that the board of directors, after consultation with participating investment banks, evaluate that the subscription price corresponds to the market price, notwithstanding that the listed price is higher. In the event that a rights issue of shares is carried out the adjustment shall, unless the board of directors determine otherwise, be based on the listed price the day before the publication of the rights issue to the market. The board of directors is, in this respect, entitled to take into account the development of the market price of the Company’s shares in the period from the announcement of the rights issue until and including the completion of the rights issue. Any adjustment shall be made by the board of directors after the completion of the rights issue.</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75"/>
        <w:gridCol w:w="4290"/>
        <w:gridCol w:w="60"/>
        <w:gridCol w:w="60"/>
        <w:gridCol w:w="5420"/>
      </w:tblGrid>
      <w:tr>
        <w:trPr/>
        <w:tc>
          <w:tcPr>
            <w:tcW w:w="375" w:type="dxa"/>
            <w:tcBorders/>
            <w:vAlign w:val="center"/>
          </w:tcPr>
          <w:p>
            <w:pPr>
              <w:pStyle w:val="TableContents"/>
              <w:bidi w:val="0"/>
              <w:spacing w:before="0" w:after="283"/>
              <w:jc w:val="left"/>
              <w:rPr>
                <w:b/>
              </w:rPr>
            </w:pPr>
            <w:r>
              <w:rPr>
                <w:b w:val="false"/>
                <w:sz w:val="20"/>
              </w:rPr>
              <w:t xml:space="preserve">6.6.  </w:t>
            </w:r>
            <w:r>
              <w:rPr>
                <w:b/>
              </w:rPr>
              <w:t> </w:t>
            </w:r>
          </w:p>
        </w:tc>
        <w:tc>
          <w:tcPr>
            <w:tcW w:w="429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Ændringer i den enkelte aktie pålydende værdi: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42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Changes in the nominal value of each individual share:</w:t>
            </w:r>
          </w:p>
        </w:tc>
      </w:tr>
      <w:tr>
        <w:trPr/>
        <w:tc>
          <w:tcPr>
            <w:tcW w:w="375" w:type="dxa"/>
            <w:tcBorders/>
            <w:vAlign w:val="center"/>
          </w:tcPr>
          <w:p>
            <w:pPr>
              <w:pStyle w:val="TableContents"/>
              <w:bidi w:val="0"/>
              <w:spacing w:before="0" w:after="283"/>
              <w:jc w:val="left"/>
              <w:rPr/>
            </w:pPr>
            <w:r>
              <w:rPr/>
              <w:t> </w:t>
            </w:r>
          </w:p>
        </w:tc>
        <w:tc>
          <w:tcPr>
            <w:tcW w:w="42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420" w:type="dxa"/>
            <w:tcBorders/>
            <w:vAlign w:val="center"/>
          </w:tcPr>
          <w:p>
            <w:pPr>
              <w:pStyle w:val="TableContents"/>
              <w:bidi w:val="0"/>
              <w:spacing w:before="0" w:after="283"/>
              <w:jc w:val="both"/>
              <w:rPr/>
            </w:pPr>
            <w:r>
              <w:rPr/>
              <w:t> </w:t>
            </w:r>
          </w:p>
        </w:tc>
      </w:tr>
      <w:tr>
        <w:trPr/>
        <w:tc>
          <w:tcPr>
            <w:tcW w:w="375" w:type="dxa"/>
            <w:tcBorders/>
            <w:vAlign w:val="center"/>
          </w:tcPr>
          <w:p>
            <w:pPr>
              <w:pStyle w:val="TableContents"/>
              <w:bidi w:val="0"/>
              <w:spacing w:before="0" w:after="283"/>
              <w:jc w:val="both"/>
              <w:rPr/>
            </w:pPr>
            <w:r>
              <w:rPr/>
              <w:t> </w:t>
            </w:r>
          </w:p>
        </w:tc>
        <w:tc>
          <w:tcPr>
            <w:tcW w:w="4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det besluttes at ændre aktiernes pålydende værdi, skal warrants justeres således: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it is decided to change the nominal value of the shares, warrants shall be adjusted as follows:</w:t>
            </w:r>
          </w:p>
        </w:tc>
      </w:tr>
      <w:tr>
        <w:trPr/>
        <w:tc>
          <w:tcPr>
            <w:tcW w:w="375" w:type="dxa"/>
            <w:tcBorders/>
            <w:vAlign w:val="center"/>
          </w:tcPr>
          <w:p>
            <w:pPr>
              <w:pStyle w:val="TableContents"/>
              <w:bidi w:val="0"/>
              <w:spacing w:before="0" w:after="283"/>
              <w:jc w:val="both"/>
              <w:rPr/>
            </w:pPr>
            <w:r>
              <w:rPr/>
              <w:t> </w:t>
            </w:r>
          </w:p>
        </w:tc>
        <w:tc>
          <w:tcPr>
            <w:tcW w:w="42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420" w:type="dxa"/>
            <w:tcBorders/>
            <w:vAlign w:val="center"/>
          </w:tcPr>
          <w:p>
            <w:pPr>
              <w:pStyle w:val="TableContents"/>
              <w:bidi w:val="0"/>
              <w:spacing w:before="0" w:after="283"/>
              <w:jc w:val="both"/>
              <w:rPr/>
            </w:pPr>
            <w:r>
              <w:rPr/>
              <w:t> </w:t>
            </w:r>
          </w:p>
        </w:tc>
      </w:tr>
      <w:tr>
        <w:trPr/>
        <w:tc>
          <w:tcPr>
            <w:tcW w:w="375" w:type="dxa"/>
            <w:tcBorders/>
            <w:vAlign w:val="center"/>
          </w:tcPr>
          <w:p>
            <w:pPr>
              <w:pStyle w:val="TableContents"/>
              <w:bidi w:val="0"/>
              <w:spacing w:before="0" w:after="283"/>
              <w:jc w:val="both"/>
              <w:rPr/>
            </w:pPr>
            <w:r>
              <w:rPr/>
              <w:t> </w:t>
            </w:r>
          </w:p>
        </w:tc>
        <w:tc>
          <w:tcPr>
            <w:tcW w:w="42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Udnyttelsesprisen på enhver endnu ikke udnyttet warrant ganges med faktoren: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      A       </w:t>
            </w:r>
          </w:p>
          <w:p>
            <w:pPr>
              <w:pStyle w:val="TableContents"/>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 antallet af endnu ikke udnyttede warrants ganges med faktoren: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w:t>
            </w:r>
          </w:p>
          <w:p>
            <w:pPr>
              <w:pStyle w:val="TableContents"/>
              <w:bidi w:val="0"/>
              <w:spacing w:before="0" w:after="0"/>
              <w:ind w:left="0" w:right="0" w:hanging="0"/>
              <w:jc w:val="both"/>
              <w:rPr>
                <w:rFonts w:ascii="Symbol" w:hAnsi="Symbol"/>
                <w:b w:val="false"/>
                <w:i w:val="false"/>
                <w:caps w:val="false"/>
                <w:smallCaps w:val="false"/>
                <w:sz w:val="20"/>
              </w:rPr>
            </w:pPr>
            <w:r>
              <w:rPr>
                <w:rFonts w:ascii="Symbol" w:hAnsi="Symbol"/>
                <w:b w:val="false"/>
                <w:i w:val="false"/>
                <w:caps w:val="false"/>
                <w:smallCaps w:val="false"/>
                <w:sz w:val="20"/>
              </w:rPr>
              <w:t>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hvor: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den enkelte aktie nominelle værdi efter ændringen, og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den enkelte aktie nominelle værdi før ændringen.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Hvis det justerede antal aktier ikke er et helt tal, skal der afrundes nedad til det nærmeste hele 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4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each non-exercised warrant shall be multiplied by the factor: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a</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      A      </w:t>
            </w:r>
          </w:p>
          <w:p>
            <w:pPr>
              <w:pStyle w:val="TableContents"/>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number of non-exercised warrants shall be multiplied by the factor: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w:t>
            </w:r>
          </w:p>
          <w:p>
            <w:pPr>
              <w:pStyle w:val="TableContents"/>
              <w:bidi w:val="0"/>
              <w:spacing w:before="0" w:after="0"/>
              <w:ind w:left="0" w:right="0" w:hanging="0"/>
              <w:jc w:val="both"/>
              <w:rPr>
                <w:rFonts w:ascii="Symbol" w:hAnsi="Symbol"/>
                <w:b w:val="false"/>
                <w:i w:val="false"/>
                <w:caps w:val="false"/>
                <w:smallCaps w:val="false"/>
                <w:sz w:val="20"/>
              </w:rPr>
            </w:pPr>
            <w:r>
              <w:rPr>
                <w:rFonts w:ascii="Symbol" w:hAnsi="Symbol"/>
                <w:b w:val="false"/>
                <w:i w:val="false"/>
                <w:caps w:val="false"/>
                <w:smallCaps w:val="false"/>
                <w:sz w:val="20"/>
              </w:rPr>
              <w:t>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nominal value of each share after the change,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nominal value of each share before the change.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adjusted number of shares does not amount to a whole number, the number shall be rounded down to the nearest whole number.</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6"/>
        <w:gridCol w:w="4772"/>
        <w:gridCol w:w="60"/>
        <w:gridCol w:w="60"/>
        <w:gridCol w:w="5007"/>
      </w:tblGrid>
      <w:tr>
        <w:trPr/>
        <w:tc>
          <w:tcPr>
            <w:tcW w:w="306" w:type="dxa"/>
            <w:tcBorders/>
            <w:vAlign w:val="center"/>
          </w:tcPr>
          <w:p>
            <w:pPr>
              <w:pStyle w:val="TableContents"/>
              <w:bidi w:val="0"/>
              <w:spacing w:before="0" w:after="283"/>
              <w:jc w:val="left"/>
              <w:rPr>
                <w:b/>
              </w:rPr>
            </w:pPr>
            <w:r>
              <w:rPr>
                <w:b w:val="false"/>
                <w:sz w:val="20"/>
              </w:rPr>
              <w:t xml:space="preserve">6.7.  </w:t>
            </w:r>
            <w:r>
              <w:rPr>
                <w:b/>
              </w:rPr>
              <w:t> </w:t>
            </w:r>
          </w:p>
        </w:tc>
        <w:tc>
          <w:tcPr>
            <w:tcW w:w="4772"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Udbetaling af udbytte: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07"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Payment of dividend:</w:t>
            </w:r>
          </w:p>
        </w:tc>
      </w:tr>
      <w:tr>
        <w:trPr/>
        <w:tc>
          <w:tcPr>
            <w:tcW w:w="306" w:type="dxa"/>
            <w:tcBorders/>
            <w:vAlign w:val="center"/>
          </w:tcPr>
          <w:p>
            <w:pPr>
              <w:pStyle w:val="TableContents"/>
              <w:bidi w:val="0"/>
              <w:spacing w:before="0" w:after="283"/>
              <w:jc w:val="left"/>
              <w:rPr/>
            </w:pPr>
            <w:r>
              <w:rPr/>
              <w:t> </w:t>
            </w:r>
          </w:p>
        </w:tc>
        <w:tc>
          <w:tcPr>
            <w:tcW w:w="477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07" w:type="dxa"/>
            <w:tcBorders/>
            <w:vAlign w:val="center"/>
          </w:tcPr>
          <w:p>
            <w:pPr>
              <w:pStyle w:val="TableContents"/>
              <w:bidi w:val="0"/>
              <w:spacing w:before="0" w:after="283"/>
              <w:jc w:val="both"/>
              <w:rPr/>
            </w:pPr>
            <w:r>
              <w:rPr/>
              <w:t> </w:t>
            </w:r>
          </w:p>
        </w:tc>
      </w:tr>
      <w:tr>
        <w:trPr/>
        <w:tc>
          <w:tcPr>
            <w:tcW w:w="306" w:type="dxa"/>
            <w:tcBorders/>
            <w:vAlign w:val="center"/>
          </w:tcPr>
          <w:p>
            <w:pPr>
              <w:pStyle w:val="TableContents"/>
              <w:bidi w:val="0"/>
              <w:spacing w:before="0" w:after="283"/>
              <w:jc w:val="both"/>
              <w:rPr/>
            </w:pPr>
            <w:r>
              <w:rPr/>
              <w:t> </w:t>
            </w:r>
          </w:p>
        </w:tc>
        <w:tc>
          <w:tcPr>
            <w:tcW w:w="47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det besluttes at udbetale udbytte, skal den del af udbyttet, der overstiger 10 % af egenkapitalen, medføre en justering af udnyttelsesprisen efter denne formel: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it is decided to pay dividends, the part of the dividends exceeding 10 per cent of the equity capital shall lead to adjustment of the exercise price according to the following formula:</w:t>
            </w:r>
          </w:p>
        </w:tc>
      </w:tr>
      <w:tr>
        <w:trPr/>
        <w:tc>
          <w:tcPr>
            <w:tcW w:w="306" w:type="dxa"/>
            <w:tcBorders/>
            <w:vAlign w:val="center"/>
          </w:tcPr>
          <w:p>
            <w:pPr>
              <w:pStyle w:val="TableContents"/>
              <w:bidi w:val="0"/>
              <w:spacing w:before="0" w:after="283"/>
              <w:jc w:val="both"/>
              <w:rPr/>
            </w:pPr>
            <w:r>
              <w:rPr/>
              <w:t> </w:t>
            </w:r>
          </w:p>
        </w:tc>
        <w:tc>
          <w:tcPr>
            <w:tcW w:w="477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07" w:type="dxa"/>
            <w:tcBorders/>
            <w:vAlign w:val="center"/>
          </w:tcPr>
          <w:p>
            <w:pPr>
              <w:pStyle w:val="TableContents"/>
              <w:bidi w:val="0"/>
              <w:spacing w:before="0" w:after="283"/>
              <w:jc w:val="both"/>
              <w:rPr/>
            </w:pPr>
            <w:r>
              <w:rPr/>
              <w:t> </w:t>
            </w:r>
          </w:p>
        </w:tc>
      </w:tr>
      <w:tr>
        <w:trPr/>
        <w:tc>
          <w:tcPr>
            <w:tcW w:w="306" w:type="dxa"/>
            <w:tcBorders/>
            <w:vAlign w:val="center"/>
          </w:tcPr>
          <w:p>
            <w:pPr>
              <w:pStyle w:val="TableContents"/>
              <w:bidi w:val="0"/>
              <w:spacing w:before="0" w:after="283"/>
              <w:jc w:val="both"/>
              <w:rPr/>
            </w:pPr>
            <w:r>
              <w:rPr/>
              <w:t> </w:t>
            </w:r>
          </w:p>
        </w:tc>
        <w:tc>
          <w:tcPr>
            <w:tcW w:w="477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E2 = E1 - </w:t>
            </w:r>
            <w:r>
              <w:rPr>
                <w:rFonts w:ascii="Times New Roman;Times;Serif" w:hAnsi="Times New Roman;Times;Serif"/>
                <w:b w:val="false"/>
                <w:i w:val="false"/>
                <w:caps w:val="false"/>
                <w:smallCaps w:val="false"/>
                <w:sz w:val="20"/>
                <w:u w:val="single"/>
              </w:rPr>
              <w:t>U – Umax</w:t>
            </w:r>
          </w:p>
          <w:p>
            <w:pPr>
              <w:pStyle w:val="TableContents"/>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hvor: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E2 = den justerede udnyttelsespris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E1 = den oprindelige udnyttelsespris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 det udbetalte udbytte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Umax = 10 % af egenkapitalen, og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det samlede antal aktier i Selskabet.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E2 = E1 - </w:t>
            </w:r>
            <w:r>
              <w:rPr>
                <w:rFonts w:ascii="Times New Roman;Times;Serif" w:hAnsi="Times New Roman;Times;Serif"/>
                <w:b w:val="false"/>
                <w:i w:val="false"/>
                <w:caps w:val="false"/>
                <w:smallCaps w:val="false"/>
                <w:sz w:val="20"/>
                <w:u w:val="single"/>
              </w:rPr>
              <w:t>U – Umax</w:t>
            </w:r>
          </w:p>
          <w:p>
            <w:pPr>
              <w:pStyle w:val="TableContents"/>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E2 = the adjusted exercise price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E1 = the original exercise price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 dividends paid out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Umax = 10 per cent of the equity capital,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total number of shares in the Company.</w:t>
            </w:r>
          </w:p>
        </w:tc>
      </w:tr>
      <w:tr>
        <w:trPr/>
        <w:tc>
          <w:tcPr>
            <w:tcW w:w="306" w:type="dxa"/>
            <w:tcBorders/>
            <w:vAlign w:val="center"/>
          </w:tcPr>
          <w:p>
            <w:pPr>
              <w:pStyle w:val="TableContents"/>
              <w:bidi w:val="0"/>
              <w:spacing w:before="0" w:after="283"/>
              <w:jc w:val="both"/>
              <w:rPr/>
            </w:pPr>
            <w:r>
              <w:rPr/>
              <w:t> </w:t>
            </w:r>
          </w:p>
        </w:tc>
        <w:tc>
          <w:tcPr>
            <w:tcW w:w="477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07" w:type="dxa"/>
            <w:tcBorders/>
            <w:vAlign w:val="center"/>
          </w:tcPr>
          <w:p>
            <w:pPr>
              <w:pStyle w:val="TableContents"/>
              <w:bidi w:val="0"/>
              <w:spacing w:before="0" w:after="283"/>
              <w:jc w:val="both"/>
              <w:rPr/>
            </w:pPr>
            <w:r>
              <w:rPr/>
              <w:t> </w:t>
            </w:r>
          </w:p>
        </w:tc>
      </w:tr>
      <w:tr>
        <w:trPr/>
        <w:tc>
          <w:tcPr>
            <w:tcW w:w="306" w:type="dxa"/>
            <w:tcBorders/>
            <w:vAlign w:val="center"/>
          </w:tcPr>
          <w:p>
            <w:pPr>
              <w:pStyle w:val="TableContents"/>
              <w:bidi w:val="0"/>
              <w:spacing w:before="0" w:after="283"/>
              <w:jc w:val="both"/>
              <w:rPr/>
            </w:pPr>
            <w:r>
              <w:rPr/>
              <w:t> </w:t>
            </w:r>
          </w:p>
        </w:tc>
        <w:tc>
          <w:tcPr>
            <w:tcW w:w="47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 egenkapital, der skal lægges til grund ved ovenstående justering, er egenkapitalen anført i den årsrapport som godkendes af generalforsamlingen hvor udbytte besluttes, men justeret til markedsværdi. Hvis Selskabet er børsnoteret, fastsættes markedsværdien til aktiernes noterede pris på tidspunktet for beslutningen om at udbetale udbytte. Hvis Selskabet er unoteret, fastsættes markedsværdien fra seneste kapitalrunde i Selskabet hvor en eller flere investorer har tegnet aktier.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equity capital which shall form the basis of the abovementioned adjustment is the equity capital stipulated in the Annual Report to be adopted at the General Meeting where dividends shall be approved before allocation, but adjusted to market price. If the Company is listed then the market price shall be the listed price of the shares at the time of the decision to pay dividends. If the Company is unlisted then the market price shall be determined by the latest investment round in the Company, in which one or more investors have subscribed shares.</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26"/>
        <w:gridCol w:w="4897"/>
        <w:gridCol w:w="60"/>
        <w:gridCol w:w="60"/>
        <w:gridCol w:w="4862"/>
      </w:tblGrid>
      <w:tr>
        <w:trPr/>
        <w:tc>
          <w:tcPr>
            <w:tcW w:w="326" w:type="dxa"/>
            <w:tcBorders/>
            <w:vAlign w:val="center"/>
          </w:tcPr>
          <w:p>
            <w:pPr>
              <w:pStyle w:val="TableContents"/>
              <w:bidi w:val="0"/>
              <w:spacing w:before="0" w:after="283"/>
              <w:jc w:val="left"/>
              <w:rPr>
                <w:b/>
              </w:rPr>
            </w:pPr>
            <w:r>
              <w:rPr>
                <w:b w:val="false"/>
                <w:sz w:val="20"/>
              </w:rPr>
              <w:t xml:space="preserve">6.8.  </w:t>
            </w:r>
            <w:r>
              <w:rPr>
                <w:b/>
              </w:rPr>
              <w:t> </w:t>
            </w:r>
          </w:p>
        </w:tc>
        <w:tc>
          <w:tcPr>
            <w:tcW w:w="4897"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Andre ændringer i Selskabets kapitalforhold: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62" w:type="dxa"/>
            <w:tcBorders/>
            <w:vAlign w:val="center"/>
          </w:tcPr>
          <w:p>
            <w:pPr>
              <w:pStyle w:val="TableContents"/>
              <w:bidi w:val="0"/>
              <w:spacing w:before="0" w:after="283"/>
              <w:jc w:val="both"/>
              <w:rPr>
                <w:sz w:val="20"/>
                <w:u w:val="single"/>
              </w:rPr>
            </w:pPr>
            <w:r>
              <w:rPr>
                <w:sz w:val="20"/>
                <w:u w:val="single"/>
              </w:rPr>
              <w:t>Other changes in the Company’s capital position:</w:t>
            </w:r>
          </w:p>
        </w:tc>
      </w:tr>
      <w:tr>
        <w:trPr/>
        <w:tc>
          <w:tcPr>
            <w:tcW w:w="326" w:type="dxa"/>
            <w:tcBorders/>
            <w:vAlign w:val="center"/>
          </w:tcPr>
          <w:p>
            <w:pPr>
              <w:pStyle w:val="TableContents"/>
              <w:bidi w:val="0"/>
              <w:spacing w:before="0" w:after="283"/>
              <w:jc w:val="left"/>
              <w:rPr/>
            </w:pPr>
            <w:r>
              <w:rPr/>
              <w:t> </w:t>
            </w:r>
          </w:p>
        </w:tc>
        <w:tc>
          <w:tcPr>
            <w:tcW w:w="489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62" w:type="dxa"/>
            <w:tcBorders/>
            <w:vAlign w:val="center"/>
          </w:tcPr>
          <w:p>
            <w:pPr>
              <w:pStyle w:val="TableContents"/>
              <w:bidi w:val="0"/>
              <w:spacing w:before="0" w:after="283"/>
              <w:jc w:val="both"/>
              <w:rPr/>
            </w:pPr>
            <w:r>
              <w:rPr/>
              <w:t> </w:t>
            </w:r>
          </w:p>
        </w:tc>
      </w:tr>
      <w:tr>
        <w:trPr/>
        <w:tc>
          <w:tcPr>
            <w:tcW w:w="326" w:type="dxa"/>
            <w:tcBorders/>
            <w:vAlign w:val="center"/>
          </w:tcPr>
          <w:p>
            <w:pPr>
              <w:pStyle w:val="TableContents"/>
              <w:bidi w:val="0"/>
              <w:spacing w:before="0" w:after="283"/>
              <w:jc w:val="both"/>
              <w:rPr/>
            </w:pPr>
            <w:r>
              <w:rPr/>
              <w:t> </w:t>
            </w:r>
          </w:p>
        </w:tc>
        <w:tc>
          <w:tcPr>
            <w:tcW w:w="4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der sker andre ændringer i Selskabets kapitalforhold, der medfører en ændring i warrants økonomiske værdi, skal (medmindre andet er angivet ovenfor) warrants justeres, således at ændringen ikke påvirker warrants økonomiske værdi.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of other changes in the Company’s capital position causing changes to the financial value of warrants, warrants shall (unless otherwise indicated above) be adjusted in order to ensure that the changes do not influence the financial value of the warrants.</w:t>
            </w:r>
          </w:p>
        </w:tc>
      </w:tr>
      <w:tr>
        <w:trPr/>
        <w:tc>
          <w:tcPr>
            <w:tcW w:w="326" w:type="dxa"/>
            <w:tcBorders/>
            <w:vAlign w:val="center"/>
          </w:tcPr>
          <w:p>
            <w:pPr>
              <w:pStyle w:val="TableContents"/>
              <w:bidi w:val="0"/>
              <w:spacing w:before="0" w:after="283"/>
              <w:jc w:val="both"/>
              <w:rPr/>
            </w:pPr>
            <w:r>
              <w:rPr/>
              <w:t> </w:t>
            </w:r>
          </w:p>
        </w:tc>
        <w:tc>
          <w:tcPr>
            <w:tcW w:w="489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62" w:type="dxa"/>
            <w:tcBorders/>
            <w:vAlign w:val="center"/>
          </w:tcPr>
          <w:p>
            <w:pPr>
              <w:pStyle w:val="TableContents"/>
              <w:bidi w:val="0"/>
              <w:spacing w:before="0" w:after="283"/>
              <w:jc w:val="both"/>
              <w:rPr/>
            </w:pPr>
            <w:r>
              <w:rPr/>
              <w:t> </w:t>
            </w:r>
          </w:p>
        </w:tc>
      </w:tr>
      <w:tr>
        <w:trPr/>
        <w:tc>
          <w:tcPr>
            <w:tcW w:w="326" w:type="dxa"/>
            <w:tcBorders/>
            <w:vAlign w:val="center"/>
          </w:tcPr>
          <w:p>
            <w:pPr>
              <w:pStyle w:val="TableContents"/>
              <w:bidi w:val="0"/>
              <w:spacing w:before="0" w:after="283"/>
              <w:jc w:val="both"/>
              <w:rPr/>
            </w:pPr>
            <w:r>
              <w:rPr/>
              <w:t> </w:t>
            </w:r>
          </w:p>
        </w:tc>
        <w:tc>
          <w:tcPr>
            <w:tcW w:w="4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 beregningsmetode, der skal anvendes ved justeringen, fastsættes af en af bestyrelsen valgt ekstern rådgiver.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calculation method to be applied to the adjustment shall be decided by an external advisor appointed by the board of directors.</w:t>
            </w:r>
          </w:p>
        </w:tc>
      </w:tr>
      <w:tr>
        <w:trPr/>
        <w:tc>
          <w:tcPr>
            <w:tcW w:w="326" w:type="dxa"/>
            <w:tcBorders/>
            <w:vAlign w:val="center"/>
          </w:tcPr>
          <w:p>
            <w:pPr>
              <w:pStyle w:val="TableContents"/>
              <w:bidi w:val="0"/>
              <w:spacing w:before="0" w:after="283"/>
              <w:jc w:val="both"/>
              <w:rPr/>
            </w:pPr>
            <w:r>
              <w:rPr/>
              <w:t> </w:t>
            </w:r>
          </w:p>
        </w:tc>
        <w:tc>
          <w:tcPr>
            <w:tcW w:w="489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62" w:type="dxa"/>
            <w:tcBorders/>
            <w:vAlign w:val="center"/>
          </w:tcPr>
          <w:p>
            <w:pPr>
              <w:pStyle w:val="TableContents"/>
              <w:bidi w:val="0"/>
              <w:spacing w:before="0" w:after="283"/>
              <w:jc w:val="both"/>
              <w:rPr/>
            </w:pPr>
            <w:r>
              <w:rPr/>
              <w:t> </w:t>
            </w:r>
          </w:p>
        </w:tc>
      </w:tr>
      <w:tr>
        <w:trPr/>
        <w:tc>
          <w:tcPr>
            <w:tcW w:w="326" w:type="dxa"/>
            <w:tcBorders/>
            <w:vAlign w:val="center"/>
          </w:tcPr>
          <w:p>
            <w:pPr>
              <w:pStyle w:val="TableContents"/>
              <w:bidi w:val="0"/>
              <w:spacing w:before="0" w:after="283"/>
              <w:jc w:val="both"/>
              <w:rPr/>
            </w:pPr>
            <w:r>
              <w:rPr/>
              <w:t> </w:t>
            </w:r>
          </w:p>
        </w:tc>
        <w:tc>
          <w:tcPr>
            <w:tcW w:w="4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præciseres, at forhøjelse eller nedsættelse af Selskabets aktiekapital til markedskurs ikke medfører, at der skal finde regulering sted af tegningskursen eller antallet af aktier, der kan tegnes.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emphasized that increase or decrease of the Company’s share capital at market price does not lead to an adjustment of the subscription price or the number of shares to be subscribed.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34"/>
        <w:gridCol w:w="4732"/>
        <w:gridCol w:w="60"/>
        <w:gridCol w:w="60"/>
        <w:gridCol w:w="4919"/>
      </w:tblGrid>
      <w:tr>
        <w:trPr/>
        <w:tc>
          <w:tcPr>
            <w:tcW w:w="434" w:type="dxa"/>
            <w:tcBorders/>
            <w:vAlign w:val="center"/>
          </w:tcPr>
          <w:p>
            <w:pPr>
              <w:pStyle w:val="TableContents"/>
              <w:bidi w:val="0"/>
              <w:spacing w:before="0" w:after="283"/>
              <w:jc w:val="left"/>
              <w:rPr>
                <w:b/>
              </w:rPr>
            </w:pPr>
            <w:r>
              <w:rPr>
                <w:b w:val="false"/>
                <w:sz w:val="20"/>
              </w:rPr>
              <w:t xml:space="preserve">6.9.  </w:t>
            </w:r>
            <w:r>
              <w:rPr>
                <w:b/>
              </w:rPr>
              <w:t> </w:t>
            </w:r>
          </w:p>
        </w:tc>
        <w:tc>
          <w:tcPr>
            <w:tcW w:w="4732"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Likvidation: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19"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Liquidation:</w:t>
            </w:r>
          </w:p>
        </w:tc>
      </w:tr>
      <w:tr>
        <w:trPr/>
        <w:tc>
          <w:tcPr>
            <w:tcW w:w="434" w:type="dxa"/>
            <w:tcBorders/>
            <w:vAlign w:val="center"/>
          </w:tcPr>
          <w:p>
            <w:pPr>
              <w:pStyle w:val="TableContents"/>
              <w:bidi w:val="0"/>
              <w:spacing w:before="0" w:after="283"/>
              <w:jc w:val="both"/>
              <w:rPr/>
            </w:pPr>
            <w:r>
              <w:rPr/>
              <w:t> </w:t>
            </w:r>
          </w:p>
        </w:tc>
        <w:tc>
          <w:tcPr>
            <w:tcW w:w="473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19" w:type="dxa"/>
            <w:tcBorders/>
            <w:vAlign w:val="center"/>
          </w:tcPr>
          <w:p>
            <w:pPr>
              <w:pStyle w:val="TableContents"/>
              <w:bidi w:val="0"/>
              <w:spacing w:before="0" w:after="283"/>
              <w:jc w:val="both"/>
              <w:rPr/>
            </w:pPr>
            <w:r>
              <w:rPr/>
              <w:t> </w:t>
            </w:r>
          </w:p>
        </w:tc>
      </w:tr>
      <w:tr>
        <w:trPr/>
        <w:tc>
          <w:tcPr>
            <w:tcW w:w="434" w:type="dxa"/>
            <w:tcBorders/>
            <w:vAlign w:val="center"/>
          </w:tcPr>
          <w:p>
            <w:pPr>
              <w:pStyle w:val="TableContents"/>
              <w:bidi w:val="0"/>
              <w:spacing w:before="0" w:after="283"/>
              <w:jc w:val="both"/>
              <w:rPr/>
            </w:pPr>
            <w:r>
              <w:rPr/>
              <w:t> </w:t>
            </w:r>
          </w:p>
        </w:tc>
        <w:tc>
          <w:tcPr>
            <w:tcW w:w="47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Selskabet bliver likvideret, fremskyndes et evt. optjeningstidspunkt for alle uudnyttede warrants, således at Warrantindehaveren kan udnytte warrants umiddelbart før den pågældende transaktion finder 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Should the Company be liquidated, the vesting time, if any, for all non-exercised warrants shall be changed so that the Warrantholder may exercise his/her warrants  immediately preceding the relevant transaction.</w:t>
            </w:r>
          </w:p>
        </w:tc>
      </w:tr>
      <w:tr>
        <w:trPr/>
        <w:tc>
          <w:tcPr>
            <w:tcW w:w="434" w:type="dxa"/>
            <w:tcBorders/>
            <w:vAlign w:val="center"/>
          </w:tcPr>
          <w:p>
            <w:pPr>
              <w:pStyle w:val="TableContents"/>
              <w:bidi w:val="0"/>
              <w:spacing w:before="0" w:after="283"/>
              <w:jc w:val="both"/>
              <w:rPr/>
            </w:pPr>
            <w:r>
              <w:rPr/>
              <w:t> </w:t>
            </w:r>
          </w:p>
        </w:tc>
        <w:tc>
          <w:tcPr>
            <w:tcW w:w="473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19" w:type="dxa"/>
            <w:tcBorders/>
            <w:vAlign w:val="center"/>
          </w:tcPr>
          <w:p>
            <w:pPr>
              <w:pStyle w:val="TableContents"/>
              <w:bidi w:val="0"/>
              <w:spacing w:before="0" w:after="283"/>
              <w:jc w:val="both"/>
              <w:rPr/>
            </w:pPr>
            <w:r>
              <w:rPr/>
              <w:t> </w:t>
            </w:r>
          </w:p>
        </w:tc>
      </w:tr>
      <w:tr>
        <w:trPr/>
        <w:tc>
          <w:tcPr>
            <w:tcW w:w="434" w:type="dxa"/>
            <w:tcBorders/>
            <w:vAlign w:val="center"/>
          </w:tcPr>
          <w:p>
            <w:pPr>
              <w:pStyle w:val="TableContents"/>
              <w:bidi w:val="0"/>
              <w:spacing w:before="0" w:after="283"/>
              <w:jc w:val="left"/>
              <w:rPr>
                <w:b/>
              </w:rPr>
            </w:pPr>
            <w:r>
              <w:rPr>
                <w:b w:val="false"/>
                <w:sz w:val="20"/>
              </w:rPr>
              <w:t xml:space="preserve">6.10.   </w:t>
            </w:r>
            <w:r>
              <w:rPr>
                <w:b/>
              </w:rPr>
              <w:t> </w:t>
            </w:r>
          </w:p>
        </w:tc>
        <w:tc>
          <w:tcPr>
            <w:tcW w:w="4732"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Fusion og spaltning: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19" w:type="dxa"/>
            <w:tcBorders/>
            <w:vAlign w:val="center"/>
          </w:tcPr>
          <w:p>
            <w:pPr>
              <w:pStyle w:val="TableContents"/>
              <w:bidi w:val="0"/>
              <w:spacing w:before="0" w:after="283"/>
              <w:jc w:val="both"/>
              <w:rPr>
                <w:sz w:val="20"/>
                <w:u w:val="single"/>
              </w:rPr>
            </w:pPr>
            <w:r>
              <w:rPr>
                <w:sz w:val="20"/>
                <w:u w:val="single"/>
              </w:rPr>
              <w:t>Merger and split:</w:t>
            </w:r>
          </w:p>
        </w:tc>
      </w:tr>
      <w:tr>
        <w:trPr/>
        <w:tc>
          <w:tcPr>
            <w:tcW w:w="434" w:type="dxa"/>
            <w:tcBorders/>
            <w:vAlign w:val="center"/>
          </w:tcPr>
          <w:p>
            <w:pPr>
              <w:pStyle w:val="TableContents"/>
              <w:bidi w:val="0"/>
              <w:spacing w:before="0" w:after="283"/>
              <w:jc w:val="both"/>
              <w:rPr/>
            </w:pPr>
            <w:r>
              <w:rPr/>
              <w:t> </w:t>
            </w:r>
          </w:p>
        </w:tc>
        <w:tc>
          <w:tcPr>
            <w:tcW w:w="473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19" w:type="dxa"/>
            <w:tcBorders/>
            <w:vAlign w:val="center"/>
          </w:tcPr>
          <w:p>
            <w:pPr>
              <w:pStyle w:val="TableContents"/>
              <w:bidi w:val="0"/>
              <w:spacing w:before="0" w:after="283"/>
              <w:jc w:val="both"/>
              <w:rPr/>
            </w:pPr>
            <w:r>
              <w:rPr/>
              <w:t> </w:t>
            </w:r>
          </w:p>
        </w:tc>
      </w:tr>
      <w:tr>
        <w:trPr/>
        <w:tc>
          <w:tcPr>
            <w:tcW w:w="434" w:type="dxa"/>
            <w:tcBorders/>
            <w:vAlign w:val="center"/>
          </w:tcPr>
          <w:p>
            <w:pPr>
              <w:pStyle w:val="TableContents"/>
              <w:bidi w:val="0"/>
              <w:spacing w:before="0" w:after="283"/>
              <w:jc w:val="both"/>
              <w:rPr/>
            </w:pPr>
            <w:r>
              <w:rPr/>
              <w:t> </w:t>
            </w:r>
          </w:p>
        </w:tc>
        <w:tc>
          <w:tcPr>
            <w:tcW w:w="47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Selskabet indgår i en fusion som det fortsættende selskab, bliver warrants ikke påvirket, medmindre der i forbindelse med fusionen sker en kapitalforhøjelse til en anden kurs end markedskursen, idet warrants i så fald justeres i henhold til punkt 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merges as the continuing company, warrants shall remain unaffected unless, in connection with the merger, the capital is increased at a price other than the market price and in that case warrants shall be adjusted in accordance with clause 6.5.</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5169"/>
        <w:gridCol w:w="60"/>
        <w:gridCol w:w="60"/>
        <w:gridCol w:w="4841"/>
      </w:tblGrid>
      <w:tr>
        <w:trPr/>
        <w:tc>
          <w:tcPr>
            <w:tcW w:w="75" w:type="dxa"/>
            <w:tcBorders/>
            <w:vAlign w:val="center"/>
          </w:tcPr>
          <w:p>
            <w:pPr>
              <w:pStyle w:val="TableContents"/>
              <w:bidi w:val="0"/>
              <w:spacing w:before="0" w:after="283"/>
              <w:jc w:val="both"/>
              <w:rPr/>
            </w:pPr>
            <w:r>
              <w:rPr/>
              <w:t> </w:t>
            </w:r>
          </w:p>
        </w:tc>
        <w:tc>
          <w:tcPr>
            <w:tcW w:w="51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Selskabet fusionerer som det ophørende selskab eller bliver spaltet, kan det fortsættende selskabs bestyrelse vælge én af disse muligheder: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merges as the terminating company or is split, the continuing company’s board of directors may elect one of the following possibilities:</w:t>
            </w:r>
          </w:p>
        </w:tc>
      </w:tr>
      <w:tr>
        <w:trPr/>
        <w:tc>
          <w:tcPr>
            <w:tcW w:w="75" w:type="dxa"/>
            <w:tcBorders/>
            <w:vAlign w:val="center"/>
          </w:tcPr>
          <w:p>
            <w:pPr>
              <w:pStyle w:val="TableContents"/>
              <w:bidi w:val="0"/>
              <w:spacing w:before="0" w:after="283"/>
              <w:jc w:val="both"/>
              <w:rPr/>
            </w:pPr>
            <w:r>
              <w:rPr/>
              <w:t> </w:t>
            </w:r>
          </w:p>
        </w:tc>
        <w:tc>
          <w:tcPr>
            <w:tcW w:w="516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4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169" w:type="dxa"/>
            <w:tcBorders/>
            <w:vAlign w:val="center"/>
          </w:tcPr>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Warrantindehaveren kan umiddelbart inden fusionen/spaltningen udnytte alle ikke udnyttede warrants, der ikke er bortfaldet (inklusive warrants der endnu ikke er optjent), eller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warrants erstattes af nye aktie/aktieinstrumenter i de(t) fortsættende selskab(er) af tilsvarende økonomisk værdi før skat. Ved spaltning kan de fortsættende selskaber selv bestemme, i hvilke(t) selskab(er) Warrantindehaverne skal modtage de nye aktie/aktieinstrumenter.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841" w:type="dxa"/>
            <w:tcBorders/>
            <w:vAlign w:val="center"/>
          </w:tcPr>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Warrantholder may exercise all non-exercised warrants that are not declared null and void (inclusive of warrants not yet vested) immediately before the merger/split, or</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new share instruments in the continuing company/companies of a corresponding financial pre-tax value shall replace the warrants. On split the continuing companies may decide in which company/companies the Warrantholders shall receive the new share instruments.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06"/>
        <w:gridCol w:w="5070"/>
        <w:gridCol w:w="60"/>
        <w:gridCol w:w="60"/>
        <w:gridCol w:w="4609"/>
      </w:tblGrid>
      <w:tr>
        <w:trPr/>
        <w:tc>
          <w:tcPr>
            <w:tcW w:w="406" w:type="dxa"/>
            <w:tcBorders/>
            <w:vAlign w:val="center"/>
          </w:tcPr>
          <w:p>
            <w:pPr>
              <w:pStyle w:val="TableContents"/>
              <w:bidi w:val="0"/>
              <w:spacing w:before="0" w:after="283"/>
              <w:jc w:val="left"/>
              <w:rPr>
                <w:b w:val="false"/>
                <w:sz w:val="20"/>
              </w:rPr>
            </w:pPr>
            <w:r>
              <w:rPr>
                <w:b w:val="false"/>
                <w:sz w:val="20"/>
              </w:rPr>
              <w:t>6.11. </w:t>
            </w:r>
          </w:p>
        </w:tc>
        <w:tc>
          <w:tcPr>
            <w:tcW w:w="507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Salg og aktieombytning: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09"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Sale and exchange of shares:</w:t>
            </w:r>
          </w:p>
        </w:tc>
      </w:tr>
      <w:tr>
        <w:trPr/>
        <w:tc>
          <w:tcPr>
            <w:tcW w:w="406" w:type="dxa"/>
            <w:tcBorders/>
            <w:vAlign w:val="center"/>
          </w:tcPr>
          <w:p>
            <w:pPr>
              <w:pStyle w:val="TableContents"/>
              <w:bidi w:val="0"/>
              <w:spacing w:before="0" w:after="283"/>
              <w:jc w:val="left"/>
              <w:rPr/>
            </w:pPr>
            <w:r>
              <w:rPr/>
              <w:t> </w:t>
            </w:r>
          </w:p>
        </w:tc>
        <w:tc>
          <w:tcPr>
            <w:tcW w:w="50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09" w:type="dxa"/>
            <w:tcBorders/>
            <w:vAlign w:val="center"/>
          </w:tcPr>
          <w:p>
            <w:pPr>
              <w:pStyle w:val="TableContents"/>
              <w:bidi w:val="0"/>
              <w:spacing w:before="0" w:after="283"/>
              <w:jc w:val="both"/>
              <w:rPr/>
            </w:pPr>
            <w:r>
              <w:rPr/>
              <w:t> </w:t>
            </w:r>
          </w:p>
        </w:tc>
      </w:tr>
      <w:tr>
        <w:trPr/>
        <w:tc>
          <w:tcPr>
            <w:tcW w:w="406" w:type="dxa"/>
            <w:tcBorders/>
            <w:vAlign w:val="center"/>
          </w:tcPr>
          <w:p>
            <w:pPr>
              <w:pStyle w:val="TableContents"/>
              <w:bidi w:val="0"/>
              <w:spacing w:before="0" w:after="283"/>
              <w:jc w:val="both"/>
              <w:rPr/>
            </w:pPr>
            <w:r>
              <w:rPr/>
              <w:t> </w:t>
            </w:r>
          </w:p>
        </w:tc>
        <w:tc>
          <w:tcPr>
            <w:tcW w:w="5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mere end 50% af aktiekapitalen i Selskabet bliver solgt (ikke tegnet eller udstedt) eller indgår i en aktieombytning, kan bestyrelsen vælge én af disse muligheder: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more than 50 per cent of the share capital in the Company is sold (not subscribed or issued) or is part of a share swap, the board of directors may elect one of the following possibilities:</w:t>
            </w:r>
          </w:p>
        </w:tc>
      </w:tr>
      <w:tr>
        <w:trPr/>
        <w:tc>
          <w:tcPr>
            <w:tcW w:w="406" w:type="dxa"/>
            <w:tcBorders/>
            <w:vAlign w:val="center"/>
          </w:tcPr>
          <w:p>
            <w:pPr>
              <w:pStyle w:val="TableContents"/>
              <w:bidi w:val="0"/>
              <w:spacing w:before="0" w:after="283"/>
              <w:jc w:val="both"/>
              <w:rPr/>
            </w:pPr>
            <w:r>
              <w:rPr/>
              <w:t> </w:t>
            </w:r>
          </w:p>
        </w:tc>
        <w:tc>
          <w:tcPr>
            <w:tcW w:w="50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09" w:type="dxa"/>
            <w:tcBorders/>
            <w:vAlign w:val="center"/>
          </w:tcPr>
          <w:p>
            <w:pPr>
              <w:pStyle w:val="TableContents"/>
              <w:bidi w:val="0"/>
              <w:spacing w:before="0" w:after="283"/>
              <w:jc w:val="both"/>
              <w:rPr/>
            </w:pPr>
            <w:r>
              <w:rPr/>
              <w:t> </w:t>
            </w:r>
          </w:p>
        </w:tc>
      </w:tr>
      <w:tr>
        <w:trPr/>
        <w:tc>
          <w:tcPr>
            <w:tcW w:w="406" w:type="dxa"/>
            <w:tcBorders/>
            <w:vAlign w:val="center"/>
          </w:tcPr>
          <w:p>
            <w:pPr>
              <w:pStyle w:val="TableContents"/>
              <w:bidi w:val="0"/>
              <w:spacing w:before="0" w:after="283"/>
              <w:ind w:left="0" w:right="0" w:hanging="360"/>
              <w:jc w:val="both"/>
              <w:rPr/>
            </w:pPr>
            <w:r>
              <w:rPr/>
              <w:t> </w:t>
            </w:r>
          </w:p>
        </w:tc>
        <w:tc>
          <w:tcPr>
            <w:tcW w:w="5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Warrantindehaveren kan umiddelbart inden salget/aktieombytningen udnytte alle ikke-udnyttede warrants, der ikke er bortfaldet (inklusive warrants der endnu ikke er optjent). Herudover indtræder der en pligt, hvorefter Warrantindehaverne skal sælge de tegnede aktier på samme vilkår som de øvrige aktionærer (ved salg).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360"/>
              <w:jc w:val="both"/>
              <w:rPr/>
            </w:pPr>
            <w:r>
              <w:rPr/>
              <w:t> </w:t>
            </w:r>
          </w:p>
        </w:tc>
        <w:tc>
          <w:tcPr>
            <w:tcW w:w="46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The Warrantholder may exercise all non-exercised warrants that are not declared null and void (inclusive of warrants not yet vested) immediately before the sale/swap of shares. Furthermore, the Warrantholder shall undertake an obligation to sell the subscribed shares on the same conditions as the other shareholders (when selling)</w:t>
            </w:r>
          </w:p>
        </w:tc>
      </w:tr>
      <w:tr>
        <w:trPr/>
        <w:tc>
          <w:tcPr>
            <w:tcW w:w="406" w:type="dxa"/>
            <w:tcBorders/>
            <w:vAlign w:val="center"/>
          </w:tcPr>
          <w:p>
            <w:pPr>
              <w:pStyle w:val="TableContents"/>
              <w:bidi w:val="0"/>
              <w:spacing w:before="0" w:after="283"/>
              <w:jc w:val="both"/>
              <w:rPr/>
            </w:pPr>
            <w:r>
              <w:rPr/>
              <w:t> </w:t>
            </w:r>
          </w:p>
        </w:tc>
        <w:tc>
          <w:tcPr>
            <w:tcW w:w="50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09" w:type="dxa"/>
            <w:tcBorders/>
            <w:vAlign w:val="center"/>
          </w:tcPr>
          <w:p>
            <w:pPr>
              <w:pStyle w:val="TableContents"/>
              <w:bidi w:val="0"/>
              <w:spacing w:before="0" w:after="283"/>
              <w:jc w:val="both"/>
              <w:rPr/>
            </w:pPr>
            <w:r>
              <w:rPr/>
              <w:t> </w:t>
            </w:r>
          </w:p>
        </w:tc>
      </w:tr>
      <w:tr>
        <w:trPr/>
        <w:tc>
          <w:tcPr>
            <w:tcW w:w="406" w:type="dxa"/>
            <w:tcBorders/>
            <w:vAlign w:val="center"/>
          </w:tcPr>
          <w:p>
            <w:pPr>
              <w:pStyle w:val="TableContents"/>
              <w:bidi w:val="0"/>
              <w:spacing w:before="0" w:after="283"/>
              <w:ind w:left="0" w:right="0" w:hanging="360"/>
              <w:jc w:val="both"/>
              <w:rPr/>
            </w:pPr>
            <w:r>
              <w:rPr/>
              <w:t> </w:t>
            </w:r>
          </w:p>
        </w:tc>
        <w:tc>
          <w:tcPr>
            <w:tcW w:w="5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Tildelte warrants erstattes af aktieinstrumenter i det erhvervende selskab af tilsvarende økonomisk værdi før skat.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360"/>
              <w:jc w:val="both"/>
              <w:rPr/>
            </w:pPr>
            <w:r>
              <w:rPr/>
              <w:t> </w:t>
            </w:r>
          </w:p>
        </w:tc>
        <w:tc>
          <w:tcPr>
            <w:tcW w:w="46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Share instruments in the acquiring company of a corresponding pre-tax value shall replace the granted warrants.</w:t>
            </w:r>
          </w:p>
        </w:tc>
      </w:tr>
      <w:tr>
        <w:trPr/>
        <w:tc>
          <w:tcPr>
            <w:tcW w:w="406" w:type="dxa"/>
            <w:tcBorders/>
            <w:vAlign w:val="center"/>
          </w:tcPr>
          <w:p>
            <w:pPr>
              <w:pStyle w:val="TableContents"/>
              <w:bidi w:val="0"/>
              <w:spacing w:before="0" w:after="283"/>
              <w:jc w:val="both"/>
              <w:rPr/>
            </w:pPr>
            <w:r>
              <w:rPr/>
              <w:t> </w:t>
            </w:r>
          </w:p>
        </w:tc>
        <w:tc>
          <w:tcPr>
            <w:tcW w:w="50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09" w:type="dxa"/>
            <w:tcBorders/>
            <w:vAlign w:val="center"/>
          </w:tcPr>
          <w:p>
            <w:pPr>
              <w:pStyle w:val="TableContents"/>
              <w:bidi w:val="0"/>
              <w:spacing w:before="0" w:after="283"/>
              <w:jc w:val="both"/>
              <w:rPr/>
            </w:pPr>
            <w:r>
              <w:rPr/>
              <w:t> </w:t>
            </w:r>
          </w:p>
        </w:tc>
      </w:tr>
      <w:tr>
        <w:trPr/>
        <w:tc>
          <w:tcPr>
            <w:tcW w:w="406" w:type="dxa"/>
            <w:tcBorders/>
            <w:vAlign w:val="center"/>
          </w:tcPr>
          <w:p>
            <w:pPr>
              <w:pStyle w:val="TableContents"/>
              <w:bidi w:val="0"/>
              <w:spacing w:before="0" w:after="283"/>
              <w:jc w:val="both"/>
              <w:rPr/>
            </w:pPr>
            <w:r>
              <w:rPr/>
              <w:t> </w:t>
            </w:r>
          </w:p>
        </w:tc>
        <w:tc>
          <w:tcPr>
            <w:tcW w:w="5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    Tildelte warrants fortsætter uændret.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Granted warrants continue unchanged.</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19"/>
        <w:gridCol w:w="5206"/>
        <w:gridCol w:w="60"/>
        <w:gridCol w:w="60"/>
        <w:gridCol w:w="4460"/>
      </w:tblGrid>
      <w:tr>
        <w:trPr/>
        <w:tc>
          <w:tcPr>
            <w:tcW w:w="419" w:type="dxa"/>
            <w:tcBorders/>
            <w:vAlign w:val="center"/>
          </w:tcPr>
          <w:p>
            <w:pPr>
              <w:pStyle w:val="TableContents"/>
              <w:bidi w:val="0"/>
              <w:spacing w:before="0" w:after="283"/>
              <w:jc w:val="left"/>
              <w:rPr>
                <w:b w:val="false"/>
                <w:sz w:val="20"/>
              </w:rPr>
            </w:pPr>
            <w:r>
              <w:rPr>
                <w:b w:val="false"/>
                <w:sz w:val="20"/>
              </w:rPr>
              <w:t xml:space="preserve">6.12.      </w:t>
            </w:r>
          </w:p>
        </w:tc>
        <w:tc>
          <w:tcPr>
            <w:tcW w:w="5206"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Fælles bestemmelser vedrørende 6.9–6.11: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46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Common provisions regarding 6.9-6.11:</w:t>
            </w:r>
          </w:p>
        </w:tc>
      </w:tr>
      <w:tr>
        <w:trPr/>
        <w:tc>
          <w:tcPr>
            <w:tcW w:w="419" w:type="dxa"/>
            <w:tcBorders/>
            <w:vAlign w:val="center"/>
          </w:tcPr>
          <w:p>
            <w:pPr>
              <w:pStyle w:val="TableContents"/>
              <w:bidi w:val="0"/>
              <w:spacing w:before="0" w:after="283"/>
              <w:jc w:val="both"/>
              <w:rPr/>
            </w:pPr>
            <w:r>
              <w:rPr/>
              <w:t> </w:t>
            </w:r>
          </w:p>
        </w:tc>
        <w:tc>
          <w:tcPr>
            <w:tcW w:w="520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460" w:type="dxa"/>
            <w:tcBorders/>
            <w:vAlign w:val="center"/>
          </w:tcPr>
          <w:p>
            <w:pPr>
              <w:pStyle w:val="TableContents"/>
              <w:bidi w:val="0"/>
              <w:spacing w:before="0" w:after="283"/>
              <w:jc w:val="both"/>
              <w:rPr/>
            </w:pPr>
            <w:r>
              <w:rPr/>
              <w:t> </w:t>
            </w:r>
          </w:p>
        </w:tc>
      </w:tr>
      <w:tr>
        <w:trPr/>
        <w:tc>
          <w:tcPr>
            <w:tcW w:w="419" w:type="dxa"/>
            <w:tcBorders/>
            <w:vAlign w:val="center"/>
          </w:tcPr>
          <w:p>
            <w:pPr>
              <w:pStyle w:val="TableContents"/>
              <w:bidi w:val="0"/>
              <w:spacing w:before="0" w:after="283"/>
              <w:jc w:val="both"/>
              <w:rPr/>
            </w:pPr>
            <w:r>
              <w:rPr/>
              <w:t> </w:t>
            </w:r>
          </w:p>
        </w:tc>
        <w:tc>
          <w:tcPr>
            <w:tcW w:w="52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er forpligtet til at give Warrantindehaveren skriftlig meddelelse, hvis en af de ovenfor nævnte transaktioner finder sted. Når Warrantindehaveren har modtaget den skriftlige meddelelse, har Warrantindehaveren 2 uger til skriftligt at informere Selskabet om, hvorvidt han/hun vil udnytte sine warrants. Hvis Warrantindehaveren ikke har givet Selskabet skriftligt svar inden 2 uger eller undlader at betale inden for den betalingsfrist, der er fastsat, bortfalder warrants uden yderligere varsel og uden kompensation. Udnyttelseskursen kan ikke komme under aktiernes nominelle værdi.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one of the transactions mentioned above is made, the Company shall inform the Warrantholder hereof by written notice. Upon receipt of the written notice, the Warrantholder shall inform the Company in writing within 2 weeks whether he/she will exercise his/hers warrants. If the Warrantholder has not answered the Company in writing within 2 weeks or fails to pay within the fixed time, warrants shall become null and void without further notice or compensation. The exercise price cannot go below the nominal value of the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3"/>
        <w:gridCol w:w="5186"/>
        <w:gridCol w:w="60"/>
        <w:gridCol w:w="60"/>
        <w:gridCol w:w="4596"/>
      </w:tblGrid>
      <w:tr>
        <w:trPr/>
        <w:tc>
          <w:tcPr>
            <w:tcW w:w="303" w:type="dxa"/>
            <w:tcBorders/>
            <w:vAlign w:val="center"/>
          </w:tcPr>
          <w:p>
            <w:pPr>
              <w:pStyle w:val="TableContents"/>
              <w:bidi w:val="0"/>
              <w:spacing w:before="0" w:after="283"/>
              <w:jc w:val="both"/>
              <w:rPr/>
            </w:pPr>
            <w:r>
              <w:rPr/>
              <w:t> </w:t>
            </w:r>
          </w:p>
        </w:tc>
        <w:tc>
          <w:tcPr>
            <w:tcW w:w="51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Warrantindehaverens rettigheder i anledning af en beslutning truffet af et kompetent organ i selskabet, jf. 6.9-6.11, er betinget af, at den relevante beslutning efterfølgende registreres i Erhvervsstyrelsen, hvis registrering er en gyldighedsbetingelse.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Warrantholder’s rights in connection with decisions made by any competent company body, see clause 6.9-6.11, shall be contingent on subsequent registration of the relevant decision with the Danish Business Authority provided that registration is a condition of its validity.</w:t>
            </w:r>
          </w:p>
        </w:tc>
      </w:tr>
      <w:tr>
        <w:trPr/>
        <w:tc>
          <w:tcPr>
            <w:tcW w:w="303" w:type="dxa"/>
            <w:tcBorders/>
            <w:vAlign w:val="center"/>
          </w:tcPr>
          <w:p>
            <w:pPr>
              <w:pStyle w:val="TableContents"/>
              <w:bidi w:val="0"/>
              <w:spacing w:before="0" w:after="283"/>
              <w:jc w:val="both"/>
              <w:rPr/>
            </w:pPr>
            <w:r>
              <w:rPr/>
              <w:t> </w:t>
            </w:r>
          </w:p>
        </w:tc>
        <w:tc>
          <w:tcPr>
            <w:tcW w:w="518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96" w:type="dxa"/>
            <w:tcBorders/>
            <w:vAlign w:val="center"/>
          </w:tcPr>
          <w:p>
            <w:pPr>
              <w:pStyle w:val="TableContents"/>
              <w:bidi w:val="0"/>
              <w:spacing w:before="0" w:after="283"/>
              <w:jc w:val="both"/>
              <w:rPr/>
            </w:pPr>
            <w:r>
              <w:rPr/>
              <w:t> </w:t>
            </w:r>
          </w:p>
        </w:tc>
      </w:tr>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7.    </w:t>
            </w:r>
            <w:r>
              <w:rPr>
                <w:rFonts w:ascii="Times New Roman;Times;Serif" w:hAnsi="Times New Roman;Times;Serif"/>
                <w:sz w:val="20"/>
              </w:rPr>
              <w:t> </w:t>
            </w:r>
          </w:p>
        </w:tc>
        <w:tc>
          <w:tcPr>
            <w:tcW w:w="5186" w:type="dxa"/>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Overdragelse, pantsætning og kreditorforfølgning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96" w:type="dxa"/>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Transfer, pledge and enforcement</w:t>
            </w:r>
          </w:p>
        </w:tc>
      </w:tr>
      <w:tr>
        <w:trPr/>
        <w:tc>
          <w:tcPr>
            <w:tcW w:w="303" w:type="dxa"/>
            <w:tcBorders/>
            <w:vAlign w:val="center"/>
          </w:tcPr>
          <w:p>
            <w:pPr>
              <w:pStyle w:val="TableContents"/>
              <w:bidi w:val="0"/>
              <w:spacing w:before="0" w:after="283"/>
              <w:jc w:val="left"/>
              <w:rPr/>
            </w:pPr>
            <w:r>
              <w:rPr/>
              <w:t> </w:t>
            </w:r>
          </w:p>
        </w:tc>
        <w:tc>
          <w:tcPr>
            <w:tcW w:w="518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96" w:type="dxa"/>
            <w:tcBorders/>
            <w:vAlign w:val="center"/>
          </w:tcPr>
          <w:p>
            <w:pPr>
              <w:pStyle w:val="TableContents"/>
              <w:bidi w:val="0"/>
              <w:spacing w:before="0" w:after="283"/>
              <w:jc w:val="both"/>
              <w:rPr/>
            </w:pPr>
            <w:r>
              <w:rPr/>
              <w:t> </w:t>
            </w:r>
          </w:p>
        </w:tc>
      </w:tr>
      <w:tr>
        <w:trPr/>
        <w:tc>
          <w:tcPr>
            <w:tcW w:w="303" w:type="dxa"/>
            <w:tcBorders/>
            <w:vAlign w:val="center"/>
          </w:tcPr>
          <w:p>
            <w:pPr>
              <w:pStyle w:val="TableContents"/>
              <w:bidi w:val="0"/>
              <w:spacing w:before="0" w:after="283"/>
              <w:jc w:val="left"/>
              <w:rPr>
                <w:b/>
              </w:rPr>
            </w:pPr>
            <w:r>
              <w:rPr>
                <w:b w:val="false"/>
                <w:sz w:val="20"/>
              </w:rPr>
              <w:t xml:space="preserve">7.1.  </w:t>
            </w:r>
            <w:r>
              <w:rPr>
                <w:b/>
              </w:rPr>
              <w:t> </w:t>
            </w:r>
          </w:p>
        </w:tc>
        <w:tc>
          <w:tcPr>
            <w:tcW w:w="51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Tildelte warrants kan ikke gøres til genstand for udlæg, overdrages eller på anden måde overføres, ej heller i forbindelse med bodeling, og hverken til eje eller til sikkerhed, uden bestyrelsens samtykke. Warrantindehaverens warrants kan dog overgå til Warrantindehaverens ægtefælle/samlever og/eller livsarvinger i tilfælde af Warrantindehaverens død. Det er en betingelse herfor, at modtageren underskriver den gældende warrantaftale samt, såfremt dette kræves af bestyrelsen, en ejeraftale.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shall not be subject to charging orders, transfer of any kind, including in connection with division of property on divorce or legal separation, for ownership or as security without the consent of the board of directors. The Warrantholder’s warrants may, however, be transferred to the Warrantholder’s spouse/cohabitant and/or issue in the event of the Warrantholder’s death. It is a condition precedent that the recipient signs the applicable warrant agreement and, to the extent required by the board of directors, a shareholders’ agreement.</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4"/>
        <w:gridCol w:w="5104"/>
        <w:gridCol w:w="60"/>
        <w:gridCol w:w="60"/>
        <w:gridCol w:w="4677"/>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8.    </w:t>
            </w:r>
            <w:r>
              <w:rPr>
                <w:rFonts w:ascii="Times New Roman;Times;Serif" w:hAnsi="Times New Roman;Times;Serif"/>
                <w:sz w:val="20"/>
              </w:rPr>
              <w:t> </w:t>
            </w:r>
          </w:p>
        </w:tc>
        <w:tc>
          <w:tcPr>
            <w:tcW w:w="5104" w:type="dxa"/>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Tegning af nye aktier ved udnyttelse af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77" w:type="dxa"/>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Subscription for new shares by exercise of warrants</w:t>
            </w:r>
          </w:p>
        </w:tc>
      </w:tr>
      <w:tr>
        <w:trPr/>
        <w:tc>
          <w:tcPr>
            <w:tcW w:w="304" w:type="dxa"/>
            <w:tcBorders/>
            <w:vAlign w:val="center"/>
          </w:tcPr>
          <w:p>
            <w:pPr>
              <w:pStyle w:val="TableContents"/>
              <w:bidi w:val="0"/>
              <w:spacing w:before="0" w:after="283"/>
              <w:jc w:val="left"/>
              <w:rPr/>
            </w:pPr>
            <w:r>
              <w:rPr/>
              <w:t> </w:t>
            </w:r>
          </w:p>
        </w:tc>
        <w:tc>
          <w:tcPr>
            <w:tcW w:w="510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77" w:type="dxa"/>
            <w:tcBorders/>
            <w:vAlign w:val="center"/>
          </w:tcPr>
          <w:p>
            <w:pPr>
              <w:pStyle w:val="TableContents"/>
              <w:bidi w:val="0"/>
              <w:spacing w:before="0" w:after="283"/>
              <w:jc w:val="both"/>
              <w:rPr/>
            </w:pPr>
            <w:r>
              <w:rPr/>
              <w:t> </w:t>
            </w:r>
          </w:p>
        </w:tc>
      </w:tr>
      <w:tr>
        <w:trPr/>
        <w:tc>
          <w:tcPr>
            <w:tcW w:w="304" w:type="dxa"/>
            <w:tcBorders/>
            <w:vAlign w:val="center"/>
          </w:tcPr>
          <w:p>
            <w:pPr>
              <w:pStyle w:val="TableContents"/>
              <w:bidi w:val="0"/>
              <w:spacing w:before="0" w:after="283"/>
              <w:jc w:val="left"/>
              <w:rPr>
                <w:b/>
              </w:rPr>
            </w:pPr>
            <w:r>
              <w:rPr>
                <w:b w:val="false"/>
                <w:sz w:val="20"/>
              </w:rPr>
              <w:t xml:space="preserve">8.1.  </w:t>
            </w:r>
            <w:r>
              <w:rPr>
                <w:b/>
              </w:rPr>
              <w:t> </w:t>
            </w:r>
          </w:p>
        </w:tc>
        <w:tc>
          <w:tcPr>
            <w:tcW w:w="51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Tegning af nye aktier ved udnyttelse af tildelte warrants finder sted ved, at Warrantindehaveren afleverer en af Selskabet udarbejdet udnyttelsesmeddelelse til Selskabet senest kl. 16:00 CET den sidste dag, hvor de tildelte warrants i henhold til punkt 4.2 kan udnyttes. Udnyttelsesmeddelelsen skal være udfyldt med alle informationer. Udnyttelsesprisen for de nye aktier, der skal betales ved et kontant indskud, skal være modtaget af Selskabet senest på den sidste dag hvor de tildelte warrants kan udnyttes i henhold til punkt 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Subscription for new shares by exercise of granted warrants must be made through submission by the Warrantholder no later than the last day pursuant to clause 4.2 on which the warrants granted may be exercised. at 16:00 CET to the Company of an exercise notice drafted by the Company. The exercise notice shall be filled in with all information. The Company must have received the exercise price for the new shares, payable as a cash contribution, by the last day pursuant to clause 4.2  on which the warrants granted may be exercised..</w:t>
            </w:r>
          </w:p>
        </w:tc>
      </w:tr>
      <w:tr>
        <w:trPr/>
        <w:tc>
          <w:tcPr>
            <w:tcW w:w="304" w:type="dxa"/>
            <w:tcBorders/>
            <w:vAlign w:val="center"/>
          </w:tcPr>
          <w:p>
            <w:pPr>
              <w:pStyle w:val="TableContents"/>
              <w:bidi w:val="0"/>
              <w:spacing w:before="0" w:after="283"/>
              <w:jc w:val="both"/>
              <w:rPr/>
            </w:pPr>
            <w:r>
              <w:rPr/>
              <w:t> </w:t>
            </w:r>
          </w:p>
        </w:tc>
        <w:tc>
          <w:tcPr>
            <w:tcW w:w="510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77" w:type="dxa"/>
            <w:tcBorders/>
            <w:vAlign w:val="center"/>
          </w:tcPr>
          <w:p>
            <w:pPr>
              <w:pStyle w:val="TableContents"/>
              <w:bidi w:val="0"/>
              <w:spacing w:before="0" w:after="283"/>
              <w:jc w:val="both"/>
              <w:rPr/>
            </w:pPr>
            <w:r>
              <w:rPr/>
              <w:t> </w:t>
            </w:r>
          </w:p>
        </w:tc>
      </w:tr>
      <w:tr>
        <w:trPr/>
        <w:tc>
          <w:tcPr>
            <w:tcW w:w="304" w:type="dxa"/>
            <w:tcBorders/>
            <w:vAlign w:val="center"/>
          </w:tcPr>
          <w:p>
            <w:pPr>
              <w:pStyle w:val="TableContents"/>
              <w:bidi w:val="0"/>
              <w:spacing w:before="0" w:after="283"/>
              <w:jc w:val="left"/>
              <w:rPr>
                <w:b/>
              </w:rPr>
            </w:pPr>
            <w:r>
              <w:rPr>
                <w:b w:val="false"/>
                <w:sz w:val="20"/>
              </w:rPr>
              <w:t xml:space="preserve">8.2.  </w:t>
            </w:r>
            <w:r>
              <w:rPr>
                <w:b/>
              </w:rPr>
              <w:t> </w:t>
            </w:r>
          </w:p>
        </w:tc>
        <w:tc>
          <w:tcPr>
            <w:tcW w:w="51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den i punkt. 8.1 angivne frist overskrides, enten således at udnyttelsesmeddelelsen i udfyldt stand eller betalingen ikke er Selskabet i hænde inden kl. 16 på den sidste dag, hvor de tildelte warrants i henhold til punkt 4.2 kan udnyttes, anses tegningen for ugyldig, og Warrantindehaverens warrants bortfalder uden yderligere varsel og uden kompensation.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limitation period set forth in clause 8.1 expires as a result of the Company not having received the filled-in exercise notice or the payment by 16:00 of the last day pursuant to clause 4.2  on which the warrants granted may be exercised, the subscription shall be deemed invalid, and in this situation the Warrantholder’s warrants shall become null and void without further notice and without compensation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46"/>
        <w:gridCol w:w="4644"/>
        <w:gridCol w:w="60"/>
        <w:gridCol w:w="60"/>
        <w:gridCol w:w="5095"/>
      </w:tblGrid>
      <w:tr>
        <w:trPr/>
        <w:tc>
          <w:tcPr>
            <w:tcW w:w="346" w:type="dxa"/>
            <w:tcBorders/>
            <w:vAlign w:val="center"/>
          </w:tcPr>
          <w:p>
            <w:pPr>
              <w:pStyle w:val="TableContents"/>
              <w:bidi w:val="0"/>
              <w:spacing w:before="0" w:after="283"/>
              <w:jc w:val="left"/>
              <w:rPr>
                <w:b/>
              </w:rPr>
            </w:pPr>
            <w:r>
              <w:rPr>
                <w:b w:val="false"/>
                <w:sz w:val="20"/>
              </w:rPr>
              <w:t xml:space="preserve">8.3.  </w:t>
            </w:r>
            <w:r>
              <w:rPr>
                <w:b/>
              </w:rPr>
              <w:t> </w:t>
            </w:r>
          </w:p>
        </w:tc>
        <w:tc>
          <w:tcPr>
            <w:tcW w:w="46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 warrants, som Warrantindehaveren ikke har udnyttet inden ti-årsdagen for tildelingen, bortfalder uden yderligere varsel og uden kompensation.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not exercised by the Warrant-holder before the tenth (10th) anniversary of the date of grant shall become null and void without further notice and without compensation.</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0"/>
        <w:gridCol w:w="4874"/>
        <w:gridCol w:w="60"/>
        <w:gridCol w:w="60"/>
        <w:gridCol w:w="4901"/>
      </w:tblGrid>
      <w:tr>
        <w:trPr/>
        <w:tc>
          <w:tcPr>
            <w:tcW w:w="310" w:type="dxa"/>
            <w:tcBorders/>
            <w:vAlign w:val="center"/>
          </w:tcPr>
          <w:p>
            <w:pPr>
              <w:pStyle w:val="TableContents"/>
              <w:bidi w:val="0"/>
              <w:spacing w:before="0" w:after="283"/>
              <w:jc w:val="left"/>
              <w:rPr>
                <w:b/>
              </w:rPr>
            </w:pPr>
            <w:r>
              <w:rPr>
                <w:b w:val="false"/>
                <w:sz w:val="20"/>
              </w:rPr>
              <w:t xml:space="preserve">8.4.  </w:t>
            </w:r>
            <w:r>
              <w:rPr>
                <w:b/>
              </w:rPr>
              <w:t> </w:t>
            </w:r>
          </w:p>
        </w:tc>
        <w:tc>
          <w:tcPr>
            <w:tcW w:w="48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Når den kapitalforhøjelse, som udnyttelsen af warrants har medført, er registreret i Erhvervsstyrelsen, modtager Warrantindehaveren fra Selskabet dokumentation for sit ejerskab til aktier i Selskabet.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the capital increase caused by exercise of warrants has been registered with the Danish Business Authority, the Warrantholder shall receive, from the Company, proof of his shareholding in the Company.</w:t>
            </w:r>
          </w:p>
        </w:tc>
      </w:tr>
      <w:tr>
        <w:trPr/>
        <w:tc>
          <w:tcPr>
            <w:tcW w:w="310" w:type="dxa"/>
            <w:tcBorders/>
            <w:vAlign w:val="center"/>
          </w:tcPr>
          <w:p>
            <w:pPr>
              <w:pStyle w:val="TableContents"/>
              <w:bidi w:val="0"/>
              <w:spacing w:before="0" w:after="283"/>
              <w:jc w:val="both"/>
              <w:rPr/>
            </w:pPr>
            <w:r>
              <w:rPr/>
              <w:t> </w:t>
            </w:r>
          </w:p>
        </w:tc>
        <w:tc>
          <w:tcPr>
            <w:tcW w:w="48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01" w:type="dxa"/>
            <w:tcBorders/>
            <w:vAlign w:val="center"/>
          </w:tcPr>
          <w:p>
            <w:pPr>
              <w:pStyle w:val="TableContents"/>
              <w:bidi w:val="0"/>
              <w:spacing w:before="0" w:after="283"/>
              <w:jc w:val="both"/>
              <w:rPr/>
            </w:pPr>
            <w:r>
              <w:rPr/>
              <w:t> </w:t>
            </w:r>
          </w:p>
        </w:tc>
      </w:tr>
      <w:tr>
        <w:trPr/>
        <w:tc>
          <w:tcPr>
            <w:tcW w:w="310" w:type="dxa"/>
            <w:tcBorders/>
            <w:vAlign w:val="center"/>
          </w:tcPr>
          <w:p>
            <w:pPr>
              <w:pStyle w:val="TableContents"/>
              <w:bidi w:val="0"/>
              <w:spacing w:before="0" w:after="283"/>
              <w:jc w:val="left"/>
              <w:rPr>
                <w:b/>
              </w:rPr>
            </w:pPr>
            <w:r>
              <w:rPr>
                <w:b w:val="false"/>
                <w:sz w:val="20"/>
              </w:rPr>
              <w:t xml:space="preserve">8.5.  </w:t>
            </w:r>
            <w:r>
              <w:rPr>
                <w:b/>
              </w:rPr>
              <w:t> </w:t>
            </w:r>
          </w:p>
        </w:tc>
        <w:tc>
          <w:tcPr>
            <w:tcW w:w="4874" w:type="dxa"/>
            <w:tcBorders/>
            <w:vAlign w:val="center"/>
          </w:tcPr>
          <w:p>
            <w:pPr>
              <w:pStyle w:val="TableContents"/>
              <w:bidi w:val="0"/>
              <w:spacing w:before="0" w:after="283"/>
              <w:jc w:val="both"/>
              <w:rPr>
                <w:sz w:val="20"/>
              </w:rPr>
            </w:pPr>
            <w:r>
              <w:rPr>
                <w:sz w:val="20"/>
              </w:rPr>
              <w:t>Forud for udnyttelse skal Warrantindehaveren tiltræde Selskabets til enhver tid gældende ejeraftale eller en særskilt ejeraftale omfattende de af Selskabets aktionærer, som har tegnet aktier ved udnyttelse af warrants. Det samme gælder Warrantindehaverens arvinger /dødsbo.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01" w:type="dxa"/>
            <w:tcBorders/>
            <w:vAlign w:val="center"/>
          </w:tcPr>
          <w:p>
            <w:pPr>
              <w:pStyle w:val="TableContents"/>
              <w:bidi w:val="0"/>
              <w:spacing w:before="0" w:after="283"/>
              <w:jc w:val="both"/>
              <w:rPr>
                <w:sz w:val="20"/>
              </w:rPr>
            </w:pPr>
            <w:r>
              <w:rPr>
                <w:sz w:val="20"/>
              </w:rPr>
              <w:t>Prior to exercise of warrants, the Warrantholder shall adhere to the Company’s shareholders’ agreement or a separate shareholders’ agreement comprising those shareholders of the Company that have subscribed for shares by exercise of warrants. The same applies to the heirs/estate of the Warrant-holder.</w:t>
            </w:r>
          </w:p>
        </w:tc>
      </w:tr>
      <w:tr>
        <w:trPr/>
        <w:tc>
          <w:tcPr>
            <w:tcW w:w="310" w:type="dxa"/>
            <w:tcBorders/>
            <w:vAlign w:val="center"/>
          </w:tcPr>
          <w:p>
            <w:pPr>
              <w:pStyle w:val="TableContents"/>
              <w:bidi w:val="0"/>
              <w:spacing w:before="0" w:after="283"/>
              <w:jc w:val="both"/>
              <w:rPr/>
            </w:pPr>
            <w:r>
              <w:rPr/>
              <w:t> </w:t>
            </w:r>
          </w:p>
        </w:tc>
        <w:tc>
          <w:tcPr>
            <w:tcW w:w="48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01" w:type="dxa"/>
            <w:tcBorders/>
            <w:vAlign w:val="center"/>
          </w:tcPr>
          <w:p>
            <w:pPr>
              <w:pStyle w:val="TableContents"/>
              <w:bidi w:val="0"/>
              <w:spacing w:before="0" w:after="283"/>
              <w:jc w:val="both"/>
              <w:rPr/>
            </w:pPr>
            <w:r>
              <w:rPr/>
              <w:t> </w:t>
            </w:r>
          </w:p>
        </w:tc>
      </w:tr>
      <w:tr>
        <w:trPr/>
        <w:tc>
          <w:tcPr>
            <w:tcW w:w="310" w:type="dxa"/>
            <w:tcBorders/>
            <w:vAlign w:val="center"/>
          </w:tcPr>
          <w:p>
            <w:pPr>
              <w:pStyle w:val="TableContents"/>
              <w:bidi w:val="0"/>
              <w:spacing w:before="0" w:after="283"/>
              <w:jc w:val="both"/>
              <w:rPr/>
            </w:pPr>
            <w:r>
              <w:rPr/>
              <w:t> </w:t>
            </w:r>
          </w:p>
        </w:tc>
        <w:tc>
          <w:tcPr>
            <w:tcW w:w="48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Warrantindehaveren er bekendt med og accepterer, at ovennævnte ejeraftaler kan indeholde i) forpligtelser til at sælge aktierne ved Warrantindehaverens fratræden, uanset årsag, til en pris der kan afvige fra markedsværdien, ii) konkurrence- og kundeklausuler, iii) salgsbegrænsninger og iv) andre restriktioner på Warrantindehaveren, som kan være byrdefulde for Warrantindehaveren.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Warrantholder accepts and acknowledges that the above-mentioned shareholders’ agreement may contain i) obligations to sell shares upon termination of the Warrant-holder’s employment, irrespective of the cause, at a price which may deviate from the market value; ii) non-competition and non-solicitation clauses; iii) sales restrictions and iv) other restrictions which may be burdensome for the Warrantholder.</w:t>
            </w:r>
          </w:p>
        </w:tc>
      </w:tr>
      <w:tr>
        <w:trPr/>
        <w:tc>
          <w:tcPr>
            <w:tcW w:w="310" w:type="dxa"/>
            <w:tcBorders/>
            <w:vAlign w:val="center"/>
          </w:tcPr>
          <w:p>
            <w:pPr>
              <w:pStyle w:val="TableContents"/>
              <w:bidi w:val="0"/>
              <w:spacing w:before="0" w:after="283"/>
              <w:jc w:val="both"/>
              <w:rPr/>
            </w:pPr>
            <w:r>
              <w:rPr/>
              <w:t> </w:t>
            </w:r>
          </w:p>
        </w:tc>
        <w:tc>
          <w:tcPr>
            <w:tcW w:w="48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01" w:type="dxa"/>
            <w:tcBorders/>
            <w:vAlign w:val="center"/>
          </w:tcPr>
          <w:p>
            <w:pPr>
              <w:pStyle w:val="TableContents"/>
              <w:bidi w:val="0"/>
              <w:spacing w:before="0" w:after="283"/>
              <w:jc w:val="both"/>
              <w:rPr/>
            </w:pPr>
            <w:r>
              <w:rPr/>
              <w:t> </w:t>
            </w:r>
          </w:p>
        </w:tc>
      </w:tr>
      <w:tr>
        <w:trPr/>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9.    </w:t>
            </w:r>
            <w:r>
              <w:rPr>
                <w:rFonts w:ascii="Times New Roman;Times;Serif" w:hAnsi="Times New Roman;Times;Serif"/>
                <w:sz w:val="20"/>
              </w:rPr>
              <w:t> </w:t>
            </w:r>
          </w:p>
        </w:tc>
        <w:tc>
          <w:tcPr>
            <w:tcW w:w="4874" w:type="dxa"/>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De nye ordinære aktiers rettigheder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01" w:type="dxa"/>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The rights of new ordinary shares</w:t>
            </w:r>
          </w:p>
        </w:tc>
      </w:tr>
      <w:tr>
        <w:trPr/>
        <w:tc>
          <w:tcPr>
            <w:tcW w:w="310" w:type="dxa"/>
            <w:tcBorders/>
            <w:vAlign w:val="center"/>
          </w:tcPr>
          <w:p>
            <w:pPr>
              <w:pStyle w:val="TableContents"/>
              <w:bidi w:val="0"/>
              <w:spacing w:before="0" w:after="283"/>
              <w:jc w:val="left"/>
              <w:rPr/>
            </w:pPr>
            <w:r>
              <w:rPr/>
              <w:t> </w:t>
            </w:r>
          </w:p>
        </w:tc>
        <w:tc>
          <w:tcPr>
            <w:tcW w:w="48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01" w:type="dxa"/>
            <w:tcBorders/>
            <w:vAlign w:val="center"/>
          </w:tcPr>
          <w:p>
            <w:pPr>
              <w:pStyle w:val="TableContents"/>
              <w:bidi w:val="0"/>
              <w:spacing w:before="0" w:after="283"/>
              <w:jc w:val="both"/>
              <w:rPr/>
            </w:pPr>
            <w:r>
              <w:rPr/>
              <w:t> </w:t>
            </w:r>
          </w:p>
        </w:tc>
      </w:tr>
      <w:tr>
        <w:trPr/>
        <w:tc>
          <w:tcPr>
            <w:tcW w:w="310" w:type="dxa"/>
            <w:tcBorders/>
            <w:vAlign w:val="center"/>
          </w:tcPr>
          <w:p>
            <w:pPr>
              <w:pStyle w:val="TableContents"/>
              <w:bidi w:val="0"/>
              <w:spacing w:before="0" w:after="283"/>
              <w:jc w:val="left"/>
              <w:rPr>
                <w:b/>
              </w:rPr>
            </w:pPr>
            <w:r>
              <w:rPr>
                <w:b w:val="false"/>
                <w:sz w:val="20"/>
              </w:rPr>
              <w:t xml:space="preserve">9.1.  </w:t>
            </w:r>
            <w:r>
              <w:rPr>
                <w:b/>
              </w:rPr>
              <w:t> </w:t>
            </w:r>
          </w:p>
        </w:tc>
        <w:tc>
          <w:tcPr>
            <w:tcW w:w="48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Udover de ovenfor anførte vilkår for den til de udstedte warrants hørende kapitalforhøjelse gælder følgende vilkår: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to the terms and conditions set forth above, the increase of the share capital relating to the warrants granted shall be subject to the following terms and conditions:</w:t>
            </w:r>
          </w:p>
        </w:tc>
      </w:tr>
      <w:tr>
        <w:trPr/>
        <w:tc>
          <w:tcPr>
            <w:tcW w:w="310" w:type="dxa"/>
            <w:tcBorders/>
            <w:vAlign w:val="center"/>
          </w:tcPr>
          <w:p>
            <w:pPr>
              <w:pStyle w:val="TableContents"/>
              <w:bidi w:val="0"/>
              <w:spacing w:before="0" w:after="283"/>
              <w:jc w:val="left"/>
              <w:rPr/>
            </w:pPr>
            <w:r>
              <w:rPr/>
              <w:t> </w:t>
            </w:r>
          </w:p>
        </w:tc>
        <w:tc>
          <w:tcPr>
            <w:tcW w:w="48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01" w:type="dxa"/>
            <w:tcBorders/>
            <w:vAlign w:val="center"/>
          </w:tcPr>
          <w:p>
            <w:pPr>
              <w:pStyle w:val="TableContents"/>
              <w:bidi w:val="0"/>
              <w:spacing w:before="0" w:after="283"/>
              <w:jc w:val="both"/>
              <w:rPr/>
            </w:pPr>
            <w:r>
              <w:rPr/>
              <w:t> </w:t>
            </w:r>
          </w:p>
        </w:tc>
      </w:tr>
      <w:tr>
        <w:trPr/>
        <w:tc>
          <w:tcPr>
            <w:tcW w:w="310" w:type="dxa"/>
            <w:tcBorders/>
            <w:vAlign w:val="center"/>
          </w:tcPr>
          <w:p>
            <w:pPr>
              <w:pStyle w:val="TableContents"/>
              <w:bidi w:val="0"/>
              <w:spacing w:before="0" w:after="283"/>
              <w:ind w:left="0" w:right="0" w:hanging="360"/>
              <w:jc w:val="both"/>
              <w:rPr/>
            </w:pPr>
            <w:r>
              <w:rPr/>
              <w:t> </w:t>
            </w:r>
          </w:p>
        </w:tc>
        <w:tc>
          <w:tcPr>
            <w:tcW w:w="48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De nye aktier udstedes i aktier à DKK 0,25 eller multipla heraf,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360"/>
              <w:jc w:val="both"/>
              <w:rPr/>
            </w:pPr>
            <w:r>
              <w:rPr/>
              <w:t> </w:t>
            </w:r>
          </w:p>
        </w:tc>
        <w:tc>
          <w:tcPr>
            <w:tcW w:w="4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      The new shares will be divided into shares of nominal DKK 0.25 or multiples hereof; </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5109"/>
        <w:gridCol w:w="60"/>
        <w:gridCol w:w="60"/>
        <w:gridCol w:w="4901"/>
      </w:tblGrid>
      <w:tr>
        <w:trPr/>
        <w:tc>
          <w:tcPr>
            <w:tcW w:w="75" w:type="dxa"/>
            <w:tcBorders/>
            <w:vAlign w:val="center"/>
          </w:tcPr>
          <w:p>
            <w:pPr>
              <w:pStyle w:val="TableContents"/>
              <w:bidi w:val="0"/>
              <w:spacing w:before="0" w:after="283"/>
              <w:ind w:left="0" w:right="0" w:hanging="360"/>
              <w:jc w:val="both"/>
              <w:rPr/>
            </w:pPr>
            <w:r>
              <w:rPr/>
              <w:t> </w:t>
            </w:r>
          </w:p>
        </w:tc>
        <w:tc>
          <w:tcPr>
            <w:tcW w:w="51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De nye aktier skal give ret til udbytte i selskabet for det løbende regnskabsår, hvori aktierne tegnes, på lige fod med de eksisterende aktier og andre rettigheder i selskabet fra og med datoen for tegningen af aktierne,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360"/>
              <w:jc w:val="both"/>
              <w:rPr/>
            </w:pPr>
            <w:r>
              <w:rPr/>
              <w:t> </w:t>
            </w:r>
          </w:p>
        </w:tc>
        <w:tc>
          <w:tcPr>
            <w:tcW w:w="4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      The new shares will carry dividend rights for the financial year in which subscription takes place on equal terms with the existing shares as well as other rights in the company as from the day of subscription of the shares; </w:t>
            </w:r>
          </w:p>
        </w:tc>
      </w:tr>
      <w:tr>
        <w:trPr/>
        <w:tc>
          <w:tcPr>
            <w:tcW w:w="75" w:type="dxa"/>
            <w:tcBorders/>
            <w:vAlign w:val="center"/>
          </w:tcPr>
          <w:p>
            <w:pPr>
              <w:pStyle w:val="TableContents"/>
              <w:bidi w:val="0"/>
              <w:spacing w:before="0" w:after="283"/>
              <w:jc w:val="both"/>
              <w:rPr/>
            </w:pPr>
            <w:r>
              <w:rPr/>
              <w:t> </w:t>
            </w:r>
          </w:p>
        </w:tc>
        <w:tc>
          <w:tcPr>
            <w:tcW w:w="510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0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360"/>
              <w:jc w:val="both"/>
              <w:rPr/>
            </w:pPr>
            <w:r>
              <w:rPr/>
              <w:t> </w:t>
            </w:r>
          </w:p>
        </w:tc>
        <w:tc>
          <w:tcPr>
            <w:tcW w:w="51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De nye aktier skal tilhøre samme aktieklasse, som de eksisterende aktier i selskabet,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360"/>
              <w:jc w:val="both"/>
              <w:rPr/>
            </w:pPr>
            <w:r>
              <w:rPr/>
              <w:t> </w:t>
            </w:r>
          </w:p>
        </w:tc>
        <w:tc>
          <w:tcPr>
            <w:tcW w:w="4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The new shares shall belong to the same share class as the existing shares in the company;</w:t>
            </w:r>
          </w:p>
        </w:tc>
      </w:tr>
      <w:tr>
        <w:trPr/>
        <w:tc>
          <w:tcPr>
            <w:tcW w:w="75" w:type="dxa"/>
            <w:tcBorders/>
            <w:vAlign w:val="center"/>
          </w:tcPr>
          <w:p>
            <w:pPr>
              <w:pStyle w:val="TableContents"/>
              <w:bidi w:val="0"/>
              <w:spacing w:before="0" w:after="283"/>
              <w:jc w:val="both"/>
              <w:rPr/>
            </w:pPr>
            <w:r>
              <w:rPr/>
              <w:t> </w:t>
            </w:r>
          </w:p>
        </w:tc>
        <w:tc>
          <w:tcPr>
            <w:tcW w:w="510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0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360"/>
              <w:jc w:val="both"/>
              <w:rPr/>
            </w:pPr>
            <w:r>
              <w:rPr/>
              <w:t> </w:t>
            </w:r>
          </w:p>
        </w:tc>
        <w:tc>
          <w:tcPr>
            <w:tcW w:w="51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Kapitalforhøjelsen sker uden fortegningsret for de hidtidige aktionærer, idet tegningen sker på baggrund af warrants tildelt til Selskabets eller dets datterselskabers direktionsmedlemmer og øvrige medarbejdere,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360"/>
              <w:jc w:val="both"/>
              <w:rPr/>
            </w:pPr>
            <w:r>
              <w:rPr/>
              <w:t> </w:t>
            </w:r>
          </w:p>
        </w:tc>
        <w:tc>
          <w:tcPr>
            <w:tcW w:w="4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The capital increase shall be made without any pre-emption rights for the existing shareholders, given that the subscription is based on warrants granted to the Company’s or its subsidiaries’ members of the management or other employees;</w:t>
            </w:r>
          </w:p>
        </w:tc>
      </w:tr>
      <w:tr>
        <w:trPr/>
        <w:tc>
          <w:tcPr>
            <w:tcW w:w="75" w:type="dxa"/>
            <w:tcBorders/>
            <w:vAlign w:val="center"/>
          </w:tcPr>
          <w:p>
            <w:pPr>
              <w:pStyle w:val="TableContents"/>
              <w:bidi w:val="0"/>
              <w:spacing w:before="0" w:after="283"/>
              <w:jc w:val="both"/>
              <w:rPr/>
            </w:pPr>
            <w:r>
              <w:rPr/>
              <w:t> </w:t>
            </w:r>
          </w:p>
        </w:tc>
        <w:tc>
          <w:tcPr>
            <w:tcW w:w="510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0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360"/>
              <w:jc w:val="both"/>
              <w:rPr/>
            </w:pPr>
            <w:r>
              <w:rPr/>
              <w:t> </w:t>
            </w:r>
          </w:p>
        </w:tc>
        <w:tc>
          <w:tcPr>
            <w:tcW w:w="51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Der skal ikke gælde indskrænkninger i den til de nye aktier knyttede fortegningsret ved fremtidige kapitalforhøjelser,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360"/>
              <w:jc w:val="both"/>
              <w:rPr/>
            </w:pPr>
            <w:r>
              <w:rPr/>
              <w:t> </w:t>
            </w:r>
          </w:p>
        </w:tc>
        <w:tc>
          <w:tcPr>
            <w:tcW w:w="4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The pre-emption rights attached to the new shares shall not be subject to any restrictions in the event of future capital increases;</w:t>
            </w:r>
          </w:p>
        </w:tc>
      </w:tr>
      <w:tr>
        <w:trPr/>
        <w:tc>
          <w:tcPr>
            <w:tcW w:w="75" w:type="dxa"/>
            <w:tcBorders/>
            <w:vAlign w:val="center"/>
          </w:tcPr>
          <w:p>
            <w:pPr>
              <w:pStyle w:val="TableContents"/>
              <w:bidi w:val="0"/>
              <w:spacing w:before="0" w:after="283"/>
              <w:jc w:val="both"/>
              <w:rPr/>
            </w:pPr>
            <w:r>
              <w:rPr/>
              <w:t> </w:t>
            </w:r>
          </w:p>
        </w:tc>
        <w:tc>
          <w:tcPr>
            <w:tcW w:w="510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0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360"/>
              <w:jc w:val="both"/>
              <w:rPr/>
            </w:pPr>
            <w:r>
              <w:rPr/>
              <w:t> </w:t>
            </w:r>
          </w:p>
        </w:tc>
        <w:tc>
          <w:tcPr>
            <w:tcW w:w="51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Fristen for tegning af de nye aktier beregnes på baggrund af bestemmelserne ovenfor,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360"/>
              <w:jc w:val="both"/>
              <w:rPr/>
            </w:pPr>
            <w:r>
              <w:rPr/>
              <w:t> </w:t>
            </w:r>
          </w:p>
        </w:tc>
        <w:tc>
          <w:tcPr>
            <w:tcW w:w="4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The deadline for subscription of the new shares shall be calculated pursuant to the provisions set forth above;</w:t>
            </w:r>
          </w:p>
        </w:tc>
      </w:tr>
      <w:tr>
        <w:trPr/>
        <w:tc>
          <w:tcPr>
            <w:tcW w:w="75" w:type="dxa"/>
            <w:tcBorders/>
            <w:vAlign w:val="center"/>
          </w:tcPr>
          <w:p>
            <w:pPr>
              <w:pStyle w:val="TableContents"/>
              <w:bidi w:val="0"/>
              <w:spacing w:before="0" w:after="283"/>
              <w:jc w:val="both"/>
              <w:rPr/>
            </w:pPr>
            <w:r>
              <w:rPr/>
              <w:t> </w:t>
            </w:r>
          </w:p>
        </w:tc>
        <w:tc>
          <w:tcPr>
            <w:tcW w:w="510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0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360"/>
              <w:jc w:val="both"/>
              <w:rPr/>
            </w:pPr>
            <w:r>
              <w:rPr/>
              <w:t> </w:t>
            </w:r>
          </w:p>
        </w:tc>
        <w:tc>
          <w:tcPr>
            <w:tcW w:w="51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Det fulde beløb til tegning af det antal aktier, som de omfattede medarbejdere mv. ønsker at tegne, skal indbetales kontant og senest samtidig med tegningen af de pågældende aktier, og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360"/>
              <w:jc w:val="both"/>
              <w:rPr/>
            </w:pPr>
            <w:r>
              <w:rPr/>
              <w:t> </w:t>
            </w:r>
          </w:p>
        </w:tc>
        <w:tc>
          <w:tcPr>
            <w:tcW w:w="4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The full subscription amount for the number of shares which the employees etc. wish to subscribe for, shall be paid in cash no later than on the day of subscription of the shares in question; and</w:t>
            </w:r>
          </w:p>
        </w:tc>
      </w:tr>
      <w:tr>
        <w:trPr/>
        <w:tc>
          <w:tcPr>
            <w:tcW w:w="75" w:type="dxa"/>
            <w:tcBorders/>
            <w:vAlign w:val="center"/>
          </w:tcPr>
          <w:p>
            <w:pPr>
              <w:pStyle w:val="TableContents"/>
              <w:bidi w:val="0"/>
              <w:spacing w:before="0" w:after="283"/>
              <w:jc w:val="both"/>
              <w:rPr/>
            </w:pPr>
            <w:r>
              <w:rPr/>
              <w:t> </w:t>
            </w:r>
          </w:p>
        </w:tc>
        <w:tc>
          <w:tcPr>
            <w:tcW w:w="510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0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360"/>
              <w:jc w:val="both"/>
              <w:rPr/>
            </w:pPr>
            <w:r>
              <w:rPr/>
              <w:t> </w:t>
            </w:r>
          </w:p>
        </w:tc>
        <w:tc>
          <w:tcPr>
            <w:tcW w:w="51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De nye aktier skal lyde på navn, noteres i selskabets ejerbog og være ikke-omsætningspapirer.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360"/>
              <w:jc w:val="both"/>
              <w:rPr/>
            </w:pPr>
            <w:r>
              <w:rPr/>
              <w:t> </w:t>
            </w:r>
          </w:p>
        </w:tc>
        <w:tc>
          <w:tcPr>
            <w:tcW w:w="4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The new shares shall be made out in the name of the holder, be recorded in the company’s register of shareholders and be non-negotiable instruments.</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2"/>
        <w:gridCol w:w="5167"/>
        <w:gridCol w:w="60"/>
        <w:gridCol w:w="60"/>
        <w:gridCol w:w="4586"/>
      </w:tblGrid>
      <w:tr>
        <w:trPr/>
        <w:tc>
          <w:tcPr>
            <w:tcW w:w="332" w:type="dxa"/>
            <w:tcBorders/>
            <w:vAlign w:val="center"/>
          </w:tcPr>
          <w:p>
            <w:pPr>
              <w:pStyle w:val="TableContents"/>
              <w:bidi w:val="0"/>
              <w:spacing w:before="0" w:after="283"/>
              <w:jc w:val="left"/>
              <w:rPr>
                <w:b/>
              </w:rPr>
            </w:pPr>
            <w:r>
              <w:rPr>
                <w:b w:val="false"/>
                <w:sz w:val="20"/>
              </w:rPr>
              <w:t xml:space="preserve">9.2.  </w:t>
            </w:r>
            <w:r>
              <w:rPr>
                <w:b/>
              </w:rPr>
              <w:t> </w:t>
            </w:r>
          </w:p>
        </w:tc>
        <w:tc>
          <w:tcPr>
            <w:tcW w:w="51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Selskabet afholder omkostninger i forbindelse med udstedelsen af warrants og senere udnyttelse heraf. Selskabets omkostninger forbundet med udstedelsen af warrants og den hertil hørende kapitalforhøjelse anslås til DKK 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5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pay all costs connected with granting of warrants and later exercise thereof. The Company’s costs in connection with issue of warrants and the related capital increase are estimated to DKK 25,000.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10"/>
        <w:gridCol w:w="4602"/>
        <w:gridCol w:w="60"/>
        <w:gridCol w:w="60"/>
        <w:gridCol w:w="5073"/>
      </w:tblGrid>
      <w:tr>
        <w:trPr/>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10.</w:t>
            </w:r>
            <w:r>
              <w:rPr>
                <w:rFonts w:ascii="Times New Roman;Times;Serif" w:hAnsi="Times New Roman;Times;Serif"/>
                <w:sz w:val="20"/>
              </w:rPr>
              <w:t xml:space="preserve">  </w:t>
            </w:r>
          </w:p>
        </w:tc>
        <w:tc>
          <w:tcPr>
            <w:tcW w:w="460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ANDRE BESTEMMELSER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7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PROVISIONS</w:t>
            </w:r>
          </w:p>
        </w:tc>
      </w:tr>
      <w:tr>
        <w:trPr/>
        <w:tc>
          <w:tcPr>
            <w:tcW w:w="410" w:type="dxa"/>
            <w:tcBorders/>
            <w:vAlign w:val="center"/>
          </w:tcPr>
          <w:p>
            <w:pPr>
              <w:pStyle w:val="TableContents"/>
              <w:bidi w:val="0"/>
              <w:spacing w:before="0" w:after="283"/>
              <w:jc w:val="both"/>
              <w:rPr/>
            </w:pPr>
            <w:r>
              <w:rPr/>
              <w:t> </w:t>
            </w:r>
          </w:p>
        </w:tc>
        <w:tc>
          <w:tcPr>
            <w:tcW w:w="46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73" w:type="dxa"/>
            <w:tcBorders/>
            <w:vAlign w:val="center"/>
          </w:tcPr>
          <w:p>
            <w:pPr>
              <w:pStyle w:val="TableContents"/>
              <w:bidi w:val="0"/>
              <w:spacing w:before="0" w:after="283"/>
              <w:jc w:val="both"/>
              <w:rPr/>
            </w:pPr>
            <w:r>
              <w:rPr/>
              <w:t> </w:t>
            </w:r>
          </w:p>
        </w:tc>
      </w:tr>
      <w:tr>
        <w:trPr/>
        <w:tc>
          <w:tcPr>
            <w:tcW w:w="410" w:type="dxa"/>
            <w:tcBorders/>
            <w:vAlign w:val="center"/>
          </w:tcPr>
          <w:p>
            <w:pPr>
              <w:pStyle w:val="TableContents"/>
              <w:bidi w:val="0"/>
              <w:spacing w:before="0" w:after="283"/>
              <w:jc w:val="left"/>
              <w:rPr>
                <w:b/>
              </w:rPr>
            </w:pPr>
            <w:r>
              <w:rPr>
                <w:b w:val="false"/>
                <w:sz w:val="20"/>
              </w:rPr>
              <w:t>10.1.</w:t>
            </w:r>
            <w:r>
              <w:rPr>
                <w:b/>
              </w:rPr>
              <w:t> </w:t>
            </w:r>
          </w:p>
        </w:tc>
        <w:tc>
          <w:tcPr>
            <w:tcW w:w="46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Tildeling af warrants har ingen umiddelbare økonomiske konsekvenser for Warrantindehaveren. Værdien af warrants indgår ikke i beregningen af feriepenge, pensionsbidrag eller øvrige vederlagsafhængige ydelser fra Selskabet eller et evt. datterselskab.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 of warrants has no immediate economic consequences for Warrant-holder. The value of warrants will not form part of the calculation of holiday allowances, pension contributions or other contributions or payments, which are based on your remuneration from the Company or a subsidiary, if any.</w:t>
            </w:r>
          </w:p>
        </w:tc>
      </w:tr>
      <w:tr>
        <w:trPr/>
        <w:tc>
          <w:tcPr>
            <w:tcW w:w="410" w:type="dxa"/>
            <w:tcBorders/>
            <w:vAlign w:val="center"/>
          </w:tcPr>
          <w:p>
            <w:pPr>
              <w:pStyle w:val="TableContents"/>
              <w:bidi w:val="0"/>
              <w:spacing w:before="0" w:after="283"/>
              <w:jc w:val="both"/>
              <w:rPr/>
            </w:pPr>
            <w:r>
              <w:rPr/>
              <w:t> </w:t>
            </w:r>
          </w:p>
        </w:tc>
        <w:tc>
          <w:tcPr>
            <w:tcW w:w="46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73" w:type="dxa"/>
            <w:tcBorders/>
            <w:vAlign w:val="center"/>
          </w:tcPr>
          <w:p>
            <w:pPr>
              <w:pStyle w:val="TableContents"/>
              <w:bidi w:val="0"/>
              <w:spacing w:before="0" w:after="283"/>
              <w:jc w:val="both"/>
              <w:rPr/>
            </w:pPr>
            <w:r>
              <w:rPr/>
              <w:t> </w:t>
            </w:r>
          </w:p>
        </w:tc>
      </w:tr>
      <w:tr>
        <w:trPr/>
        <w:tc>
          <w:tcPr>
            <w:tcW w:w="410" w:type="dxa"/>
            <w:tcBorders/>
            <w:vAlign w:val="center"/>
          </w:tcPr>
          <w:p>
            <w:pPr>
              <w:pStyle w:val="TableContents"/>
              <w:bidi w:val="0"/>
              <w:spacing w:before="0" w:after="283"/>
              <w:jc w:val="left"/>
              <w:rPr>
                <w:b w:val="false"/>
                <w:sz w:val="20"/>
              </w:rPr>
            </w:pPr>
            <w:r>
              <w:rPr>
                <w:b w:val="false"/>
                <w:sz w:val="20"/>
              </w:rPr>
              <w:t>10.2. </w:t>
            </w:r>
          </w:p>
        </w:tc>
        <w:tc>
          <w:tcPr>
            <w:tcW w:w="46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 forhold, at Selskabet tilbyder Warrantindehavere warrants, forpligter ikke på nogen måde Selskabet til at opretholde ansættelsesforholdet.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fact that the Company offers warrants to Warrantholders shall not in any way obligate the Company to maintain the employment.</w:t>
            </w:r>
          </w:p>
        </w:tc>
      </w:tr>
      <w:tr>
        <w:trPr/>
        <w:tc>
          <w:tcPr>
            <w:tcW w:w="410" w:type="dxa"/>
            <w:tcBorders/>
            <w:vAlign w:val="center"/>
          </w:tcPr>
          <w:p>
            <w:pPr>
              <w:pStyle w:val="TableContents"/>
              <w:bidi w:val="0"/>
              <w:spacing w:before="0" w:after="283"/>
              <w:jc w:val="both"/>
              <w:rPr/>
            </w:pPr>
            <w:r>
              <w:rPr/>
              <w:t> </w:t>
            </w:r>
          </w:p>
        </w:tc>
        <w:tc>
          <w:tcPr>
            <w:tcW w:w="46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73" w:type="dxa"/>
            <w:tcBorders/>
            <w:vAlign w:val="center"/>
          </w:tcPr>
          <w:p>
            <w:pPr>
              <w:pStyle w:val="TableContents"/>
              <w:bidi w:val="0"/>
              <w:spacing w:before="0" w:after="283"/>
              <w:jc w:val="both"/>
              <w:rPr/>
            </w:pPr>
            <w:r>
              <w:rPr/>
              <w:t> </w:t>
            </w:r>
          </w:p>
        </w:tc>
      </w:tr>
      <w:tr>
        <w:trPr/>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11.</w:t>
            </w:r>
            <w:r>
              <w:rPr>
                <w:rFonts w:ascii="Times New Roman;Times;Serif" w:hAnsi="Times New Roman;Times;Serif"/>
                <w:sz w:val="20"/>
              </w:rPr>
              <w:t xml:space="preserve">  </w:t>
            </w:r>
          </w:p>
        </w:tc>
        <w:tc>
          <w:tcPr>
            <w:tcW w:w="460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SKATTEMÆSSIGE KONSEKVENSER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7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TAX CONSEQUENCES</w:t>
            </w:r>
          </w:p>
        </w:tc>
      </w:tr>
      <w:tr>
        <w:trPr/>
        <w:tc>
          <w:tcPr>
            <w:tcW w:w="410" w:type="dxa"/>
            <w:tcBorders/>
            <w:vAlign w:val="center"/>
          </w:tcPr>
          <w:p>
            <w:pPr>
              <w:pStyle w:val="TableContents"/>
              <w:bidi w:val="0"/>
              <w:spacing w:before="0" w:after="283"/>
              <w:jc w:val="both"/>
              <w:rPr/>
            </w:pPr>
            <w:r>
              <w:rPr/>
              <w:t> </w:t>
            </w:r>
          </w:p>
        </w:tc>
        <w:tc>
          <w:tcPr>
            <w:tcW w:w="46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73" w:type="dxa"/>
            <w:tcBorders/>
            <w:vAlign w:val="center"/>
          </w:tcPr>
          <w:p>
            <w:pPr>
              <w:pStyle w:val="TableContents"/>
              <w:bidi w:val="0"/>
              <w:spacing w:before="0" w:after="283"/>
              <w:jc w:val="both"/>
              <w:rPr/>
            </w:pPr>
            <w:r>
              <w:rPr/>
              <w:t> </w:t>
            </w:r>
          </w:p>
        </w:tc>
      </w:tr>
      <w:tr>
        <w:trPr/>
        <w:tc>
          <w:tcPr>
            <w:tcW w:w="410" w:type="dxa"/>
            <w:tcBorders/>
            <w:vAlign w:val="center"/>
          </w:tcPr>
          <w:p>
            <w:pPr>
              <w:pStyle w:val="TableContents"/>
              <w:bidi w:val="0"/>
              <w:spacing w:before="0" w:after="283"/>
              <w:jc w:val="left"/>
              <w:rPr>
                <w:b/>
              </w:rPr>
            </w:pPr>
            <w:r>
              <w:rPr>
                <w:b w:val="false"/>
                <w:sz w:val="20"/>
              </w:rPr>
              <w:t>11.1.</w:t>
            </w:r>
            <w:r>
              <w:rPr>
                <w:b/>
              </w:rPr>
              <w:t> </w:t>
            </w:r>
          </w:p>
        </w:tc>
        <w:tc>
          <w:tcPr>
            <w:tcW w:w="46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 personlige skattemæssige konsekvenser forbundet med Warrantindehaverens tegning eller udnyttelse af warrants er Selskabet uvedkommende.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personal tax implications connected to the Warrantholder’s subscription for or exercise of warrants shall be of no concern to the Company.</w:t>
            </w:r>
          </w:p>
        </w:tc>
      </w:tr>
      <w:tr>
        <w:trPr/>
        <w:tc>
          <w:tcPr>
            <w:tcW w:w="410" w:type="dxa"/>
            <w:tcBorders/>
            <w:vAlign w:val="center"/>
          </w:tcPr>
          <w:p>
            <w:pPr>
              <w:pStyle w:val="TableContents"/>
              <w:bidi w:val="0"/>
              <w:spacing w:before="0" w:after="283"/>
              <w:jc w:val="both"/>
              <w:rPr/>
            </w:pPr>
            <w:r>
              <w:rPr/>
              <w:t> </w:t>
            </w:r>
          </w:p>
        </w:tc>
        <w:tc>
          <w:tcPr>
            <w:tcW w:w="46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73" w:type="dxa"/>
            <w:tcBorders/>
            <w:vAlign w:val="center"/>
          </w:tcPr>
          <w:p>
            <w:pPr>
              <w:pStyle w:val="TableContents"/>
              <w:bidi w:val="0"/>
              <w:spacing w:before="0" w:after="283"/>
              <w:jc w:val="both"/>
              <w:rPr/>
            </w:pPr>
            <w:r>
              <w:rPr/>
              <w:t> </w:t>
            </w:r>
          </w:p>
        </w:tc>
      </w:tr>
      <w:tr>
        <w:trPr/>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12.</w:t>
            </w:r>
            <w:r>
              <w:rPr>
                <w:rFonts w:ascii="Times New Roman;Times;Serif" w:hAnsi="Times New Roman;Times;Serif"/>
                <w:sz w:val="20"/>
              </w:rPr>
              <w:t xml:space="preserve">  </w:t>
            </w:r>
          </w:p>
        </w:tc>
        <w:tc>
          <w:tcPr>
            <w:tcW w:w="460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LOVVALG OG VÆRNETING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7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LAW AND VENUE</w:t>
            </w:r>
          </w:p>
        </w:tc>
      </w:tr>
      <w:tr>
        <w:trPr/>
        <w:tc>
          <w:tcPr>
            <w:tcW w:w="410" w:type="dxa"/>
            <w:tcBorders/>
            <w:vAlign w:val="center"/>
          </w:tcPr>
          <w:p>
            <w:pPr>
              <w:pStyle w:val="TableContents"/>
              <w:bidi w:val="0"/>
              <w:spacing w:before="0" w:after="283"/>
              <w:jc w:val="both"/>
              <w:rPr/>
            </w:pPr>
            <w:r>
              <w:rPr/>
              <w:t> </w:t>
            </w:r>
          </w:p>
        </w:tc>
        <w:tc>
          <w:tcPr>
            <w:tcW w:w="46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73" w:type="dxa"/>
            <w:tcBorders/>
            <w:vAlign w:val="center"/>
          </w:tcPr>
          <w:p>
            <w:pPr>
              <w:pStyle w:val="TableContents"/>
              <w:bidi w:val="0"/>
              <w:spacing w:before="0" w:after="283"/>
              <w:jc w:val="both"/>
              <w:rPr/>
            </w:pPr>
            <w:r>
              <w:rPr/>
              <w:t> </w:t>
            </w:r>
          </w:p>
        </w:tc>
      </w:tr>
      <w:tr>
        <w:trPr/>
        <w:tc>
          <w:tcPr>
            <w:tcW w:w="410" w:type="dxa"/>
            <w:tcBorders/>
            <w:vAlign w:val="center"/>
          </w:tcPr>
          <w:p>
            <w:pPr>
              <w:pStyle w:val="TableContents"/>
              <w:bidi w:val="0"/>
              <w:spacing w:before="0" w:after="283"/>
              <w:jc w:val="left"/>
              <w:rPr>
                <w:b w:val="false"/>
                <w:sz w:val="20"/>
              </w:rPr>
            </w:pPr>
            <w:r>
              <w:rPr>
                <w:b w:val="false"/>
                <w:sz w:val="20"/>
              </w:rPr>
              <w:t>12.1.</w:t>
            </w:r>
          </w:p>
        </w:tc>
        <w:tc>
          <w:tcPr>
            <w:tcW w:w="46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Tegningen af warrants, vilkårene herfor og udnyttelsen, og vilkårene for senere tegning af aktier i Selskabet skal reguleres af dansk ret.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Acceptance of warrants, the terms and conditions thereto and the exercise, and terms and conditions for future subscription for shares in the Company shall be governed by Danish law.</w:t>
            </w:r>
          </w:p>
        </w:tc>
      </w:tr>
      <w:tr>
        <w:trPr/>
        <w:tc>
          <w:tcPr>
            <w:tcW w:w="410" w:type="dxa"/>
            <w:tcBorders/>
            <w:vAlign w:val="center"/>
          </w:tcPr>
          <w:p>
            <w:pPr>
              <w:pStyle w:val="TableContents"/>
              <w:bidi w:val="0"/>
              <w:spacing w:before="0" w:after="283"/>
              <w:jc w:val="both"/>
              <w:rPr/>
            </w:pPr>
            <w:r>
              <w:rPr/>
              <w:t> </w:t>
            </w:r>
          </w:p>
        </w:tc>
        <w:tc>
          <w:tcPr>
            <w:tcW w:w="46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73" w:type="dxa"/>
            <w:tcBorders/>
            <w:vAlign w:val="center"/>
          </w:tcPr>
          <w:p>
            <w:pPr>
              <w:pStyle w:val="TableContents"/>
              <w:bidi w:val="0"/>
              <w:spacing w:before="0" w:after="283"/>
              <w:jc w:val="both"/>
              <w:rPr/>
            </w:pPr>
            <w:r>
              <w:rPr/>
              <w:t> </w:t>
            </w:r>
          </w:p>
        </w:tc>
      </w:tr>
      <w:tr>
        <w:trPr/>
        <w:tc>
          <w:tcPr>
            <w:tcW w:w="410" w:type="dxa"/>
            <w:tcBorders/>
            <w:vAlign w:val="center"/>
          </w:tcPr>
          <w:p>
            <w:pPr>
              <w:pStyle w:val="TableContents"/>
              <w:bidi w:val="0"/>
              <w:spacing w:before="0" w:after="283"/>
              <w:jc w:val="left"/>
              <w:rPr>
                <w:b/>
              </w:rPr>
            </w:pPr>
            <w:r>
              <w:rPr>
                <w:b w:val="false"/>
                <w:sz w:val="20"/>
              </w:rPr>
              <w:t>12.2.</w:t>
            </w:r>
            <w:r>
              <w:rPr>
                <w:b/>
              </w:rPr>
              <w:t> </w:t>
            </w:r>
          </w:p>
        </w:tc>
        <w:tc>
          <w:tcPr>
            <w:tcW w:w="46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der måtte opstå en tvist mellem Warrantindehaveren og Selskabet i relation til forståelsen eller gennemførelsen af warrantprogrammet, skal denne søges bilagt i mindelighed ved en forhandling mellem parterne.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disagreement between the Warrantholder and the Company in relation to the understanding or implementation of the warrant scheme shall be settled amicably by negotiation between the parties.</w:t>
            </w:r>
          </w:p>
        </w:tc>
      </w:tr>
      <w:tr>
        <w:trPr/>
        <w:tc>
          <w:tcPr>
            <w:tcW w:w="410" w:type="dxa"/>
            <w:tcBorders/>
            <w:vAlign w:val="center"/>
          </w:tcPr>
          <w:p>
            <w:pPr>
              <w:pStyle w:val="TableContents"/>
              <w:bidi w:val="0"/>
              <w:spacing w:before="0" w:after="283"/>
              <w:jc w:val="both"/>
              <w:rPr/>
            </w:pPr>
            <w:r>
              <w:rPr/>
              <w:t> </w:t>
            </w:r>
          </w:p>
        </w:tc>
        <w:tc>
          <w:tcPr>
            <w:tcW w:w="460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73" w:type="dxa"/>
            <w:tcBorders/>
            <w:vAlign w:val="center"/>
          </w:tcPr>
          <w:p>
            <w:pPr>
              <w:pStyle w:val="TableContents"/>
              <w:bidi w:val="0"/>
              <w:spacing w:before="0" w:after="283"/>
              <w:jc w:val="both"/>
              <w:rPr/>
            </w:pPr>
            <w:r>
              <w:rPr/>
              <w:t> </w:t>
            </w:r>
          </w:p>
        </w:tc>
      </w:tr>
      <w:tr>
        <w:trPr/>
        <w:tc>
          <w:tcPr>
            <w:tcW w:w="410" w:type="dxa"/>
            <w:tcBorders/>
            <w:vAlign w:val="center"/>
          </w:tcPr>
          <w:p>
            <w:pPr>
              <w:pStyle w:val="TableContents"/>
              <w:bidi w:val="0"/>
              <w:spacing w:before="0" w:after="283"/>
              <w:jc w:val="left"/>
              <w:rPr>
                <w:b w:val="false"/>
                <w:sz w:val="20"/>
              </w:rPr>
            </w:pPr>
            <w:r>
              <w:rPr>
                <w:b w:val="false"/>
                <w:sz w:val="20"/>
              </w:rPr>
              <w:t>12.3. </w:t>
            </w:r>
          </w:p>
        </w:tc>
        <w:tc>
          <w:tcPr>
            <w:tcW w:w="46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Hvis parterne ikke kan opnå enighed, skal eventuelle tvister afgøres ved de almindelige danske domstole.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parties fail to reach consensus, any disputes shall be settled by the ordinary Danish courts.</w:t>
            </w:r>
          </w:p>
        </w:tc>
      </w:tr>
    </w:tbl>
    <w:p>
      <w:pPr>
        <w:pStyle w:val="TextBody"/>
        <w:bidi w:val="0"/>
        <w:spacing w:before="0" w:after="0"/>
        <w:ind w:left="0" w:right="0" w:hanging="1021"/>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Mono">
    <w:altName w:val="Courier New"/>
    <w:charset w:val="01"/>
    <w:family w:val="modern"/>
    <w:pitch w:val="fixed"/>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ourceText">
    <w:name w:val="Source Text"/>
    <w:qFormat/>
    <w:rPr>
      <w:rFonts w:ascii="Liberation Mono" w:hAnsi="Liberation Mono" w:eastAsia="Liberation Mono" w:cs="Liberation Mono"/>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4.jpeg"/><Relationship Id="rId11" Type="http://schemas.openxmlformats.org/officeDocument/2006/relationships/image" Target="media/image4.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5.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6.jpeg"/><Relationship Id="rId18" Type="http://schemas.openxmlformats.org/officeDocument/2006/relationships/image" Target="media/image6.jpeg"/><Relationship Id="rId19" Type="http://schemas.openxmlformats.org/officeDocument/2006/relationships/image" Target="media/image6.jpeg"/><Relationship Id="rId20" Type="http://schemas.openxmlformats.org/officeDocument/2006/relationships/image" Target="media/image6.jpeg"/><Relationship Id="rId21" Type="http://schemas.openxmlformats.org/officeDocument/2006/relationships/image" Target="media/image6.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6.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6.jpeg"/><Relationship Id="rId32" Type="http://schemas.openxmlformats.org/officeDocument/2006/relationships/image" Target="media/image4.jpeg"/><Relationship Id="rId33" Type="http://schemas.openxmlformats.org/officeDocument/2006/relationships/image" Target="media/image4.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6.jpeg"/><Relationship Id="rId37" Type="http://schemas.openxmlformats.org/officeDocument/2006/relationships/image" Target="media/image5.jpeg"/><Relationship Id="rId38" Type="http://schemas.openxmlformats.org/officeDocument/2006/relationships/image" Target="media/image5.jpeg"/><Relationship Id="rId39" Type="http://schemas.openxmlformats.org/officeDocument/2006/relationships/image" Target="media/image6.jpeg"/><Relationship Id="rId40" Type="http://schemas.openxmlformats.org/officeDocument/2006/relationships/image" Target="media/image6.jpeg"/><Relationship Id="rId41" Type="http://schemas.openxmlformats.org/officeDocument/2006/relationships/image" Target="media/image6.jpeg"/><Relationship Id="rId42" Type="http://schemas.openxmlformats.org/officeDocument/2006/relationships/image" Target="media/image6.jpeg"/><Relationship Id="rId43" Type="http://schemas.openxmlformats.org/officeDocument/2006/relationships/image" Target="media/image6.jpeg"/><Relationship Id="rId44" Type="http://schemas.openxmlformats.org/officeDocument/2006/relationships/image" Target="media/image6.jpeg"/><Relationship Id="rId45" Type="http://schemas.openxmlformats.org/officeDocument/2006/relationships/image" Target="media/image6.jpeg"/><Relationship Id="rId46" Type="http://schemas.openxmlformats.org/officeDocument/2006/relationships/image" Target="media/image6.jpeg"/><Relationship Id="rId47" Type="http://schemas.openxmlformats.org/officeDocument/2006/relationships/image" Target="media/image6.jpeg"/><Relationship Id="rId48" Type="http://schemas.openxmlformats.org/officeDocument/2006/relationships/image" Target="media/image6.jpeg"/><Relationship Id="rId49" Type="http://schemas.openxmlformats.org/officeDocument/2006/relationships/image" Target="media/image6.jpeg"/><Relationship Id="rId50" Type="http://schemas.openxmlformats.org/officeDocument/2006/relationships/image" Target="media/image6.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6.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3.jpeg"/><Relationship Id="rId57" Type="http://schemas.openxmlformats.org/officeDocument/2006/relationships/image" Target="media/image3.jpeg"/><Relationship Id="rId58" Type="http://schemas.openxmlformats.org/officeDocument/2006/relationships/image" Target="media/image6.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6.jpeg"/><Relationship Id="rId62" Type="http://schemas.openxmlformats.org/officeDocument/2006/relationships/image" Target="media/image4.jpeg"/><Relationship Id="rId63" Type="http://schemas.openxmlformats.org/officeDocument/2006/relationships/image" Target="media/image4.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5.jpeg"/><Relationship Id="rId67" Type="http://schemas.openxmlformats.org/officeDocument/2006/relationships/image" Target="media/image5.jpeg"/><Relationship Id="rId68" Type="http://schemas.openxmlformats.org/officeDocument/2006/relationships/image" Target="media/image6.jpeg"/><Relationship Id="rId69" Type="http://schemas.openxmlformats.org/officeDocument/2006/relationships/image" Target="media/image6.jpeg"/><Relationship Id="rId70" Type="http://schemas.openxmlformats.org/officeDocument/2006/relationships/image" Target="media/image6.jpeg"/><Relationship Id="rId71" Type="http://schemas.openxmlformats.org/officeDocument/2006/relationships/image" Target="media/image6.jpeg"/><Relationship Id="rId72" Type="http://schemas.openxmlformats.org/officeDocument/2006/relationships/image" Target="media/image6.jpeg"/><Relationship Id="rId73" Type="http://schemas.openxmlformats.org/officeDocument/2006/relationships/image" Target="media/image6.jpeg"/><Relationship Id="rId74" Type="http://schemas.openxmlformats.org/officeDocument/2006/relationships/image" Target="media/image6.jpeg"/><Relationship Id="rId75" Type="http://schemas.openxmlformats.org/officeDocument/2006/relationships/fontTable" Target="fontTable.xml"/><Relationship Id="rId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116581</Words>
  <Characters>622756</Characters>
  <CharactersWithSpaces>745300</CharactersWithSpaces>
  <Paragraphs>10802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