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20" w:right="4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April 2023</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Evaxion Biotech</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6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Biotech A/S’s registration statements on Form S-8 (File No. 333-255064), on Form F-3 (File No. 333-265132) and on Form F-1 (File No. 333-266050),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543" w:right="51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April 27, 2023,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20"/>
          </w:cols>
          <w:pgMar w:left="320" w:top="111" w:right="6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Evaxion Biotech</w:t>
            </w:r>
          </w:p>
        </w:tc>
        <w:tc>
          <w:tcPr>
            <w:tcW w:w="140" w:type="dxa"/>
            <w:vAlign w:val="bottom"/>
          </w:tcPr>
          <w:p>
            <w:pPr>
              <w:spacing w:after="0"/>
              <w:rPr>
                <w:sz w:val="17"/>
                <w:szCs w:val="17"/>
                <w:color w:val="auto"/>
              </w:rPr>
            </w:pPr>
          </w:p>
        </w:tc>
      </w:tr>
      <w:tr>
        <w:trPr>
          <w:trHeight w:val="237"/>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140" w:type="dxa"/>
            <w:vAlign w:val="bottom"/>
          </w:tcPr>
          <w:p>
            <w:pPr>
              <w:spacing w:after="0"/>
              <w:rPr>
                <w:sz w:val="20"/>
                <w:szCs w:val="20"/>
                <w:color w:val="auto"/>
              </w:rPr>
            </w:pPr>
          </w:p>
        </w:tc>
      </w:tr>
      <w:tr>
        <w:trPr>
          <w:trHeight w:val="608"/>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April 27, 2023</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Sabine Mølleskov</w:t>
            </w:r>
          </w:p>
        </w:tc>
        <w:tc>
          <w:tcPr>
            <w:tcW w:w="140" w:type="dxa"/>
            <w:vAlign w:val="bottom"/>
          </w:tcPr>
          <w:p>
            <w:pPr>
              <w:spacing w:after="0"/>
              <w:rPr>
                <w:sz w:val="24"/>
                <w:szCs w:val="24"/>
                <w:color w:val="auto"/>
              </w:rPr>
            </w:pPr>
          </w:p>
        </w:tc>
      </w:tr>
      <w:tr>
        <w:trPr>
          <w:trHeight w:val="218"/>
        </w:trPr>
        <w:tc>
          <w:tcPr>
            <w:tcW w:w="7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Sabine Mølleskov</w:t>
            </w:r>
          </w:p>
        </w:tc>
        <w:tc>
          <w:tcPr>
            <w:tcW w:w="140" w:type="dxa"/>
            <w:vAlign w:val="bottom"/>
            <w:tcBorders>
              <w:top w:val="single" w:sz="8" w:color="auto"/>
            </w:tcBorders>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VP Investor Relations</w:t>
            </w:r>
          </w:p>
        </w:tc>
        <w:tc>
          <w:tcPr>
            <w:tcW w:w="140" w:type="dxa"/>
            <w:vAlign w:val="bottom"/>
          </w:tcPr>
          <w:p>
            <w:pPr>
              <w:spacing w:after="0"/>
              <w:rPr>
                <w:sz w:val="20"/>
                <w:szCs w:val="20"/>
                <w:color w:val="auto"/>
              </w:rPr>
            </w:pP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quarter and full year 2022 financial results and business update</w:t>
      </w:r>
    </w:p>
    <w:p>
      <w:pPr>
        <w:spacing w:after="0" w:line="210" w:lineRule="exact"/>
        <w:rPr>
          <w:sz w:val="20"/>
          <w:szCs w:val="20"/>
          <w:color w:val="auto"/>
        </w:rPr>
      </w:pPr>
    </w:p>
    <w:p>
      <w:pPr>
        <w:ind w:left="540" w:right="160"/>
        <w:spacing w:after="0" w:line="241" w:lineRule="auto"/>
        <w:rPr>
          <w:sz w:val="20"/>
          <w:szCs w:val="20"/>
          <w:color w:val="auto"/>
        </w:rPr>
      </w:pPr>
      <w:r>
        <w:rPr>
          <w:rFonts w:ascii="Times New Roman" w:cs="Times New Roman" w:eastAsia="Times New Roman" w:hAnsi="Times New Roman"/>
          <w:sz w:val="22"/>
          <w:szCs w:val="22"/>
          <w:color w:val="auto"/>
        </w:rPr>
        <w:t>Evaxion presented promising data from its Phase 1/2a clinical trial of EVX-02 in patients with late-stage melanoma at the 2023 AACR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0"/>
        <w:spacing w:after="0" w:line="232" w:lineRule="auto"/>
        <w:rPr>
          <w:sz w:val="20"/>
          <w:szCs w:val="20"/>
          <w:color w:val="auto"/>
        </w:rPr>
      </w:pPr>
      <w:r>
        <w:rPr>
          <w:rFonts w:ascii="Times New Roman" w:cs="Times New Roman" w:eastAsia="Times New Roman" w:hAnsi="Times New Roman"/>
          <w:sz w:val="22"/>
          <w:szCs w:val="22"/>
          <w:color w:val="auto"/>
        </w:rPr>
        <w:t>EVX-03, a DNA-based personalized cancer vaccine, is expected to have a CTA filing in Q3 2023 and start a Phase 1 trial in solid tumor patients in Q4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-260350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04" w:lineRule="auto"/>
        <w:rPr>
          <w:sz w:val="20"/>
          <w:szCs w:val="20"/>
          <w:color w:val="auto"/>
        </w:rPr>
      </w:pPr>
      <w:r>
        <w:rPr>
          <w:rFonts w:ascii="Times New Roman" w:cs="Times New Roman" w:eastAsia="Times New Roman" w:hAnsi="Times New Roman"/>
          <w:sz w:val="21"/>
          <w:szCs w:val="21"/>
          <w:color w:val="auto"/>
        </w:rPr>
        <w:t>Recent collaborations with Pantherna Therapeutics GmbH (utilizing PIONEER™) and ExpreS</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ion Biotechnologies ApS (utilizing RAVEN™) highlight the broad utility of Evaxion’s differentiated AI platforms, which now includes the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-260350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80"/>
        <w:spacing w:after="0" w:line="195" w:lineRule="auto"/>
        <w:rPr>
          <w:sz w:val="20"/>
          <w:szCs w:val="20"/>
          <w:color w:val="auto"/>
        </w:rPr>
      </w:pPr>
      <w:r>
        <w:rPr>
          <w:rFonts w:ascii="Times New Roman" w:cs="Times New Roman" w:eastAsia="Times New Roman" w:hAnsi="Times New Roman"/>
          <w:sz w:val="22"/>
          <w:szCs w:val="22"/>
          <w:color w:val="auto"/>
        </w:rPr>
        <w:t>ObsERV</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AI technology, which is designed to identify patient-specific viral targets from endogenous retroviruses (ERVs) known to be overexpressed in certain tumors</w:t>
      </w:r>
    </w:p>
    <w:p>
      <w:pPr>
        <w:spacing w:after="0" w:line="2" w:lineRule="exact"/>
        <w:rPr>
          <w:sz w:val="20"/>
          <w:szCs w:val="20"/>
          <w:color w:val="auto"/>
        </w:rPr>
      </w:pPr>
    </w:p>
    <w:p>
      <w:pPr>
        <w:ind w:left="540" w:right="940"/>
        <w:spacing w:after="0" w:line="237" w:lineRule="auto"/>
        <w:rPr>
          <w:sz w:val="20"/>
          <w:szCs w:val="20"/>
          <w:color w:val="auto"/>
        </w:rPr>
      </w:pPr>
      <w:r>
        <w:rPr>
          <w:rFonts w:ascii="Times New Roman" w:cs="Times New Roman" w:eastAsia="Times New Roman" w:hAnsi="Times New Roman"/>
          <w:sz w:val="22"/>
          <w:szCs w:val="22"/>
          <w:color w:val="auto"/>
        </w:rPr>
        <w:t>$13 million in cash and equivalents as of December 31, 2022 is expected to fund operations into December 2023 Evaxion to host a webcast and conference call today, April 27 at 8:30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79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-113030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COPENHAGEN, Denmark, April 27, 2023 (GLOBE NEWSWIRE) -- Evaxion Biotech A/S (NASDAQ: EVAX) (“Evaxion” or the “Company”), a clinical-stage biotechnology company specializing in the development of AI-driven immunotherapies, announced today the fourth quarter and full-year 2022 financial results and provided a business update.</w:t>
      </w:r>
    </w:p>
    <w:p>
      <w:pPr>
        <w:spacing w:after="0" w:line="173"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color w:val="auto"/>
        </w:rPr>
        <w:t>“Evaxion made excellent progress across its core AI technologies for vaccine target discovery in 2022 and early 2023, validated through the progress in the pipeline,” said Per Norlén, Chief Executive Officer of Evaxion. “Looking back on our accomplishments, I’d like to highlight the initial proof-of-concept clinical trials in melanoma for EVX-01 and EVX-02, developed using our PIONEER™ artificial intelligence (AI)-platform, and our next-generation immuno-oncology candidate, EVX-03, scheduled to begin clinical testing in Q4 2023. We also announced another proprietary AI technology, ObsERV™, targeting endogenous retroviruses (ERVs), which is planned to be incorporated into our personalized cancer vaccines. Over the last six months, as we have refined our development strategy and business focus, re-aligned our organization and extended our cash runway, I am grateful to the outstanding work of the team and remain impressed by the strength of Evaxion’s core AI-science.”</w:t>
      </w:r>
    </w:p>
    <w:p>
      <w:pPr>
        <w:spacing w:after="0" w:line="18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Per concluded, “We recently reported promising clinical results from the Phase 1/2a EVX-02 study in melanoma at the 2023 annual meeting for the American Association for Clinical Research (AACR). Looking ahead to the rest of the year, we plan to report final Phase 1/2a results and interim Phase 2 data from the EVX-01 program in melanoma. In addition, we intend to initiate recruitment in a Phase 1 study with EVX-03 in Q4 2023. We look forward to inform the investment community and our key stakeholders with further updates on our progress throughout the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Pipeline Updates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Technology advances:</w:t>
      </w:r>
    </w:p>
    <w:p>
      <w:pPr>
        <w:spacing w:after="0" w:line="18"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Novel ObsERV™ technology </w:t>
      </w:r>
      <w:r>
        <w:rPr>
          <w:rFonts w:ascii="Times New Roman" w:cs="Times New Roman" w:eastAsia="Times New Roman" w:hAnsi="Times New Roman"/>
          <w:sz w:val="22"/>
          <w:szCs w:val="22"/>
          <w:color w:val="auto"/>
        </w:rPr>
        <w:t>-- In March 2023, Evaxion reported the discovery of a novel new source of antigens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personalized cancer immunotherapy, based on endogenous retroviruses (ERVs). The AI-enabled technology has the potential to make “cold” tumors responsive to immunotherapy, which has the potential to broaden the patient population for immunotherapy significantly.</w:t>
      </w:r>
    </w:p>
    <w:p>
      <w:pPr>
        <w:spacing w:after="0" w:line="173"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Novel mRNA vaccine delivery collaboration with Pantherna </w:t>
      </w:r>
      <w:r>
        <w:rPr>
          <w:rFonts w:ascii="Times New Roman" w:cs="Times New Roman" w:eastAsia="Times New Roman" w:hAnsi="Times New Roman"/>
          <w:sz w:val="22"/>
          <w:szCs w:val="22"/>
          <w:color w:val="auto"/>
        </w:rPr>
        <w:t>-- In February 2023, Evaxion and Pantherna announced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promising mRNA vaccine data. The preclinical data demonstrated that tumor neoantigens identified by Evaxion’s AI PIONEER™ platform could drive a strong immune response and lead to complete inhibition of tumor growth when delivered using Pantherna’s proprietary mRNA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Program Overview</w:t>
      </w:r>
    </w:p>
    <w:p>
      <w:pPr>
        <w:spacing w:after="0" w:line="23" w:lineRule="exact"/>
        <w:rPr>
          <w:sz w:val="20"/>
          <w:szCs w:val="20"/>
          <w:color w:val="auto"/>
        </w:rPr>
      </w:pPr>
    </w:p>
    <w:p>
      <w:pPr>
        <w:ind w:right="540"/>
        <w:spacing w:after="0" w:line="204" w:lineRule="auto"/>
        <w:rPr>
          <w:sz w:val="20"/>
          <w:szCs w:val="20"/>
          <w:color w:val="auto"/>
        </w:rPr>
      </w:pPr>
      <w:r>
        <w:rPr>
          <w:rFonts w:ascii="Times New Roman" w:cs="Times New Roman" w:eastAsia="Times New Roman" w:hAnsi="Times New Roman"/>
          <w:sz w:val="21"/>
          <w:szCs w:val="21"/>
          <w:b w:val="1"/>
          <w:bCs w:val="1"/>
          <w:color w:val="auto"/>
        </w:rPr>
        <w:t>EVX-01 (1</w:t>
      </w:r>
      <w:r>
        <w:rPr>
          <w:rFonts w:ascii="Times New Roman" w:cs="Times New Roman" w:eastAsia="Times New Roman" w:hAnsi="Times New Roman"/>
          <w:sz w:val="34"/>
          <w:szCs w:val="34"/>
          <w:b w:val="1"/>
          <w:bCs w:val="1"/>
          <w:color w:val="auto"/>
          <w:vertAlign w:val="superscript"/>
        </w:rPr>
        <w:t>st</w:t>
      </w:r>
      <w:r>
        <w:rPr>
          <w:rFonts w:ascii="Times New Roman" w:cs="Times New Roman" w:eastAsia="Times New Roman" w:hAnsi="Times New Roman"/>
          <w:sz w:val="21"/>
          <w:szCs w:val="21"/>
          <w:b w:val="1"/>
          <w:bCs w:val="1"/>
          <w:color w:val="auto"/>
        </w:rPr>
        <w:t xml:space="preserve"> generation, Peptide based vaccine, Phase 2 in melanoma) – </w:t>
      </w:r>
      <w:r>
        <w:rPr>
          <w:rFonts w:ascii="Times New Roman" w:cs="Times New Roman" w:eastAsia="Times New Roman" w:hAnsi="Times New Roman"/>
          <w:sz w:val="21"/>
          <w:szCs w:val="21"/>
          <w:color w:val="auto"/>
        </w:rPr>
        <w:t>The ongoing single-arm, multi-center trial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(NCT05309421) is evaluating EVX-01 for the treatment of adults with metastatic melanoma in combination with the [PD-1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inhibitor/checkpoint inhibitor/CPI], KEYTRUDA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w:t>
      </w:r>
    </w:p>
    <w:p>
      <w:pPr>
        <w:spacing w:after="0" w:line="81" w:lineRule="exact"/>
        <w:rPr>
          <w:sz w:val="20"/>
          <w:szCs w:val="20"/>
          <w:color w:val="auto"/>
        </w:rPr>
      </w:pPr>
    </w:p>
    <w:p>
      <w:pPr>
        <w:jc w:val="both"/>
        <w:ind w:left="540" w:right="180"/>
        <w:spacing w:after="0" w:line="238" w:lineRule="auto"/>
        <w:rPr>
          <w:sz w:val="20"/>
          <w:szCs w:val="20"/>
          <w:color w:val="auto"/>
        </w:rPr>
      </w:pPr>
      <w:r>
        <w:rPr>
          <w:rFonts w:ascii="Times New Roman" w:cs="Times New Roman" w:eastAsia="Times New Roman" w:hAnsi="Times New Roman"/>
          <w:sz w:val="22"/>
          <w:szCs w:val="22"/>
          <w:color w:val="auto"/>
        </w:rPr>
        <w:t>The Company plans to present a full read-out of the previous Phase 1/2a study in 12 patients at the American Society for Clinical Oncology (ASCO) Annual Meeting in June 2023, in which interim data demonstrated clinical response in six out of the first nine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The Phase 2 study, initiated in September 2022, is expected to enroll up to 20 patients and report interim data in Q4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9" w:lineRule="exact"/>
        <w:rPr>
          <w:sz w:val="20"/>
          <w:szCs w:val="20"/>
          <w:color w:val="auto"/>
        </w:rPr>
      </w:pPr>
    </w:p>
    <w:p>
      <w:pPr>
        <w:jc w:val="both"/>
        <w:ind w:right="140"/>
        <w:spacing w:after="0" w:line="215" w:lineRule="auto"/>
        <w:rPr>
          <w:sz w:val="20"/>
          <w:szCs w:val="20"/>
          <w:color w:val="auto"/>
        </w:rPr>
      </w:pPr>
      <w:r>
        <w:rPr>
          <w:rFonts w:ascii="Times New Roman" w:cs="Times New Roman" w:eastAsia="Times New Roman" w:hAnsi="Times New Roman"/>
          <w:sz w:val="22"/>
          <w:szCs w:val="22"/>
          <w:b w:val="1"/>
          <w:bCs w:val="1"/>
          <w:color w:val="auto"/>
        </w:rPr>
        <w:t>EVX-02 (2</w:t>
      </w:r>
      <w:r>
        <w:rPr>
          <w:rFonts w:ascii="Times New Roman" w:cs="Times New Roman" w:eastAsia="Times New Roman" w:hAnsi="Times New Roman"/>
          <w:sz w:val="35"/>
          <w:szCs w:val="35"/>
          <w:b w:val="1"/>
          <w:bCs w:val="1"/>
          <w:color w:val="auto"/>
          <w:vertAlign w:val="superscript"/>
        </w:rPr>
        <w:t>nd</w:t>
      </w:r>
      <w:r>
        <w:rPr>
          <w:rFonts w:ascii="Times New Roman" w:cs="Times New Roman" w:eastAsia="Times New Roman" w:hAnsi="Times New Roman"/>
          <w:sz w:val="22"/>
          <w:szCs w:val="22"/>
          <w:b w:val="1"/>
          <w:bCs w:val="1"/>
          <w:color w:val="auto"/>
        </w:rPr>
        <w:t xml:space="preserve"> generation, DNA-based vaccine, Phase 1/2a in melanoma) </w:t>
      </w:r>
      <w:r>
        <w:rPr>
          <w:rFonts w:ascii="Times New Roman" w:cs="Times New Roman" w:eastAsia="Times New Roman" w:hAnsi="Times New Roman"/>
          <w:sz w:val="22"/>
          <w:szCs w:val="22"/>
          <w:color w:val="auto"/>
        </w:rPr>
        <w:t>– The single-arm, open-label study (NCT04455503)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evaluated EVX-02 in combination with the CPI, nivolumab, in patients with advanced melanoma who had undergone complete surgical resection and were at high risk for recurrence.</w:t>
      </w:r>
    </w:p>
    <w:p>
      <w:pPr>
        <w:spacing w:after="0" w:line="180" w:lineRule="exact"/>
        <w:rPr>
          <w:sz w:val="20"/>
          <w:szCs w:val="20"/>
          <w:color w:val="auto"/>
        </w:rPr>
      </w:pPr>
    </w:p>
    <w:p>
      <w:pPr>
        <w:ind w:left="540" w:right="280"/>
        <w:spacing w:after="0" w:line="239" w:lineRule="auto"/>
        <w:rPr>
          <w:sz w:val="20"/>
          <w:szCs w:val="20"/>
          <w:color w:val="auto"/>
        </w:rPr>
      </w:pPr>
      <w:r>
        <w:rPr>
          <w:rFonts w:ascii="Times New Roman" w:cs="Times New Roman" w:eastAsia="Times New Roman" w:hAnsi="Times New Roman"/>
          <w:sz w:val="22"/>
          <w:szCs w:val="22"/>
          <w:color w:val="auto"/>
        </w:rPr>
        <w:t>Data presented at the 2023 AACR meeting showed that all 10 patients who completed the full course of dosing with the EVX-02/CPI combination were relapse-free during the 12-month study period. The treatment also produced neoantigen-specific long-lasting T-cell immune responses involving both CD4+ and CD8+ T-cells. The EVX-02/CPI treatment combination was well tolerated, and only mild EVX-02-associated adverse events (AEs)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142" w:gutter="0" w:footer="0" w:header="0"/>
        </w:sectPr>
      </w:pPr>
    </w:p>
    <w:bookmarkStart w:id="4" w:name="page5"/>
    <w:bookmarkEnd w:id="4"/>
    <w:p>
      <w:pPr>
        <w:ind w:right="360"/>
        <w:spacing w:after="0" w:line="221" w:lineRule="auto"/>
        <w:rPr>
          <w:sz w:val="20"/>
          <w:szCs w:val="20"/>
          <w:color w:val="auto"/>
        </w:rPr>
      </w:pPr>
      <w:r>
        <w:rPr>
          <w:rFonts w:ascii="Times New Roman" w:cs="Times New Roman" w:eastAsia="Times New Roman" w:hAnsi="Times New Roman"/>
          <w:sz w:val="22"/>
          <w:szCs w:val="22"/>
          <w:b w:val="1"/>
          <w:bCs w:val="1"/>
          <w:color w:val="auto"/>
        </w:rPr>
        <w:t>EVX-03 (3</w:t>
      </w:r>
      <w:r>
        <w:rPr>
          <w:rFonts w:ascii="Times New Roman" w:cs="Times New Roman" w:eastAsia="Times New Roman" w:hAnsi="Times New Roman"/>
          <w:sz w:val="35"/>
          <w:szCs w:val="35"/>
          <w:b w:val="1"/>
          <w:bCs w:val="1"/>
          <w:color w:val="auto"/>
          <w:vertAlign w:val="superscript"/>
        </w:rPr>
        <w:t>rd</w:t>
      </w:r>
      <w:r>
        <w:rPr>
          <w:rFonts w:ascii="Times New Roman" w:cs="Times New Roman" w:eastAsia="Times New Roman" w:hAnsi="Times New Roman"/>
          <w:sz w:val="22"/>
          <w:szCs w:val="22"/>
          <w:b w:val="1"/>
          <w:bCs w:val="1"/>
          <w:color w:val="auto"/>
        </w:rPr>
        <w:t xml:space="preserve"> generation, DNA-based vaccine, Phase 1 study expected to begin in Q4 2023) </w:t>
      </w:r>
      <w:r>
        <w:rPr>
          <w:rFonts w:ascii="Times New Roman" w:cs="Times New Roman" w:eastAsia="Times New Roman" w:hAnsi="Times New Roman"/>
          <w:sz w:val="22"/>
          <w:szCs w:val="22"/>
          <w:color w:val="auto"/>
        </w:rPr>
        <w:t>– EVX-03 is a DNA-based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personalized cancer immunotherapy that combines patient-specific neoantigens with personalized ERVs. Bringing these personalized antigens together into a single plasmid construct, armed with a genetic immune adjuvant, will enable Evaxion to develop an immunotherapy with the potential for inducing a robust and patient-specific immune response and for increased efficacy.</w:t>
      </w:r>
    </w:p>
    <w:p>
      <w:pPr>
        <w:spacing w:after="0" w:line="177" w:lineRule="exact"/>
        <w:rPr>
          <w:sz w:val="20"/>
          <w:szCs w:val="20"/>
          <w:color w:val="auto"/>
        </w:rPr>
      </w:pPr>
    </w:p>
    <w:p>
      <w:pPr>
        <w:jc w:val="both"/>
        <w:ind w:left="540" w:right="320"/>
        <w:spacing w:after="0" w:line="244" w:lineRule="auto"/>
        <w:rPr>
          <w:sz w:val="20"/>
          <w:szCs w:val="20"/>
          <w:color w:val="auto"/>
        </w:rPr>
      </w:pPr>
      <w:r>
        <w:rPr>
          <w:rFonts w:ascii="Times New Roman" w:cs="Times New Roman" w:eastAsia="Times New Roman" w:hAnsi="Times New Roman"/>
          <w:sz w:val="22"/>
          <w:szCs w:val="22"/>
          <w:color w:val="auto"/>
        </w:rPr>
        <w:t>A clinical trial authorization (CTA) filing with the European Medicines Agency to evaluate the combination of EVX-03 and a CPI is anticipated to be filed in Q3 2023 and the Phase 1 study is anticipated to begin in Q4 2023 in patients with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Infectious diseases programs: based on Evaxion’s EDEN™ and RAVEN™ technologies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Technology advances:</w:t>
      </w:r>
    </w:p>
    <w:p>
      <w:pPr>
        <w:spacing w:after="0" w:line="1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EVX-B1 (S. aureus, preclinical) – </w:t>
      </w:r>
      <w:r>
        <w:rPr>
          <w:rFonts w:ascii="Times New Roman" w:cs="Times New Roman" w:eastAsia="Times New Roman" w:hAnsi="Times New Roman"/>
          <w:sz w:val="22"/>
          <w:szCs w:val="22"/>
          <w:color w:val="auto"/>
        </w:rPr>
        <w:t>Evaxion has demonstrated significant protection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 aureus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infection in both sepsis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skin infection models. The next step for this partnering-ready program is IND-enabling toxicology studies.</w:t>
      </w:r>
    </w:p>
    <w:p>
      <w:pPr>
        <w:spacing w:after="0" w:line="174"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EVX-B2 (N. gonorrhoeae, preclinical) </w:t>
      </w:r>
      <w:r>
        <w:rPr>
          <w:rFonts w:ascii="Times New Roman" w:cs="Times New Roman" w:eastAsia="Times New Roman" w:hAnsi="Times New Roman"/>
          <w:sz w:val="21"/>
          <w:szCs w:val="21"/>
          <w:color w:val="auto"/>
        </w:rPr>
        <w:t>– In June 2022, Evaxion announced gonorrhea as a new bacterial vaccine candidate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 gonorrhoeae. In September 2022, Evaxion announced that the Company, in collaboration with the UMass Chan Medical School, had received a grant from the U.S. National Institutes of Health (NIH) for the development of a lead vaccine candidate.</w:t>
      </w:r>
    </w:p>
    <w:p>
      <w:pPr>
        <w:spacing w:after="0" w:line="15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EVX-V1 (Cytomegavirus/CMV, preclinical) </w:t>
      </w:r>
      <w:r>
        <w:rPr>
          <w:rFonts w:ascii="Times New Roman" w:cs="Times New Roman" w:eastAsia="Times New Roman" w:hAnsi="Times New Roman"/>
          <w:sz w:val="22"/>
          <w:szCs w:val="22"/>
          <w:color w:val="auto"/>
        </w:rPr>
        <w:t>– In December 2022, Evaxion and ExpreS²ion initiated the discovery phase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 research collaboration to develop a next generation CMV vaccine candidate that elicits both cellular and humoral antibody responses; this phase will be jointly funded until 2025. After that, the parties could expand the research collaboration into a Development and Commercialization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Expected milestones in 2023</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Q2 2023 - Full readout EVX-01 Phase 1/2a – to be presented at ASCO in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Q4 2023 - Report interim results from EVX-01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Q4 2023 - Initiate patient recruitment in a Phase 1 study for EVX-03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2022 Financial Results</w:t>
      </w:r>
    </w:p>
    <w:p>
      <w:pPr>
        <w:spacing w:after="0" w:line="206" w:lineRule="exact"/>
        <w:rPr>
          <w:sz w:val="20"/>
          <w:szCs w:val="20"/>
          <w:color w:val="auto"/>
        </w:rPr>
      </w:pPr>
    </w:p>
    <w:p>
      <w:pPr>
        <w:ind w:left="540"/>
        <w:spacing w:after="0" w:line="239" w:lineRule="auto"/>
        <w:rPr>
          <w:sz w:val="20"/>
          <w:szCs w:val="20"/>
          <w:color w:val="auto"/>
        </w:rPr>
      </w:pPr>
      <w:r>
        <w:rPr>
          <w:rFonts w:ascii="Times New Roman" w:cs="Times New Roman" w:eastAsia="Times New Roman" w:hAnsi="Times New Roman"/>
          <w:sz w:val="22"/>
          <w:szCs w:val="22"/>
          <w:b w:val="1"/>
          <w:bCs w:val="1"/>
          <w:color w:val="auto"/>
        </w:rPr>
        <w:t>Cash position</w:t>
      </w:r>
      <w:r>
        <w:rPr>
          <w:rFonts w:ascii="Times New Roman" w:cs="Times New Roman" w:eastAsia="Times New Roman" w:hAnsi="Times New Roman"/>
          <w:sz w:val="22"/>
          <w:szCs w:val="22"/>
          <w:color w:val="auto"/>
        </w:rPr>
        <w:t>: As of December 31, 2022, cash and cash equivalents were $13.2 million as compared to $32.2 million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31, 2021. This along with capital raised in Q1 2023 of $4.2 million, is anticipated to be sufficient to fund operations into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340"/>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Research and Development expenses </w:t>
      </w:r>
      <w:r>
        <w:rPr>
          <w:rFonts w:ascii="Times New Roman" w:cs="Times New Roman" w:eastAsia="Times New Roman" w:hAnsi="Times New Roman"/>
          <w:sz w:val="21"/>
          <w:szCs w:val="21"/>
          <w:color w:val="auto"/>
        </w:rPr>
        <w:t>were $17.1 million for the year ended December 31, 2022 as compared to $19.6</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million for the year ended December 31, 2021. The decrease was primarily related to a decrease in spending on clinical trials, net of grant income and preclinical product candidates countered by an increase in 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General and Administrative expenses </w:t>
      </w:r>
      <w:r>
        <w:rPr>
          <w:rFonts w:ascii="Times New Roman" w:cs="Times New Roman" w:eastAsia="Times New Roman" w:hAnsi="Times New Roman"/>
          <w:sz w:val="22"/>
          <w:szCs w:val="22"/>
          <w:color w:val="auto"/>
        </w:rPr>
        <w:t>were $8.2 million for the year ended December 31, 2022 compared to $6.3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year ended December 31, 2021. The increase was primarily related to professional fees incurred by the corporate functions as a listed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was $23.2 million for the year ended December 31, 2022 or ($0.98) loss per basic and diluted share as compared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$24.5 million, or ($1.26) loss per basic and diluted share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Based on the Company’s current cash position, with a cash runway until beginning of December and the need for further funding, our auditors EY have provided an emphasis of matter in their auditors report that there exists substantial doubt about the Company’s ability to continue as a going concern.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Webcast and Conference Call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will host a webcast and conference call today, April 27, at 8:30 am EDT.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dial in for the conference call, please use the following details:</w:t>
      </w:r>
    </w:p>
    <w:p>
      <w:pPr>
        <w:spacing w:after="0" w:line="186" w:lineRule="exact"/>
        <w:rPr>
          <w:sz w:val="20"/>
          <w:szCs w:val="20"/>
          <w:color w:val="auto"/>
        </w:rPr>
      </w:pPr>
    </w:p>
    <w:p>
      <w:pPr>
        <w:ind w:left="540"/>
        <w:spacing w:after="0" w:line="253" w:lineRule="exact"/>
        <w:rPr>
          <w:sz w:val="20"/>
          <w:szCs w:val="20"/>
          <w:color w:val="auto"/>
        </w:rPr>
      </w:pPr>
      <w:r>
        <w:rPr>
          <w:rFonts w:ascii="Times New Roman" w:cs="Times New Roman" w:eastAsia="Times New Roman" w:hAnsi="Times New Roman"/>
          <w:sz w:val="22"/>
          <w:szCs w:val="22"/>
          <w:color w:val="auto"/>
        </w:rPr>
        <w:t>US: 877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0792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-73660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2" w:lineRule="exact"/>
        <w:rPr>
          <w:sz w:val="20"/>
          <w:szCs w:val="20"/>
          <w:color w:val="auto"/>
        </w:rPr>
      </w:pPr>
    </w:p>
    <w:p>
      <w:pPr>
        <w:ind w:left="540"/>
        <w:spacing w:after="0" w:line="253" w:lineRule="exact"/>
        <w:rPr>
          <w:sz w:val="20"/>
          <w:szCs w:val="20"/>
          <w:color w:val="auto"/>
        </w:rPr>
      </w:pPr>
      <w:r>
        <w:rPr>
          <w:rFonts w:ascii="Times New Roman" w:cs="Times New Roman" w:eastAsia="Times New Roman" w:hAnsi="Times New Roman"/>
          <w:sz w:val="22"/>
          <w:szCs w:val="22"/>
          <w:color w:val="auto"/>
        </w:rPr>
        <w:t>International: +1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689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Conference ID: 13727933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Alternatively to access the audio webcast, please visit the events page of Evaxion’s website at: https://evaxion-biotech.com/news-and-events/events/default.aspx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21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Evaxion Biotech A/S is a clinical-stage biotech company developing AI-powered immunotherapies. Evaxion’s proprietary and scalable AI technologies decode the human immune system to discover and develop novel immunotherapies for cancer, bacterial diseases, and viral infections. Evaxion has a broad pipeline of product candidates, including three personalized cancer immunotherapies. It is located in Hørsholm, Denmark and is listed on the Nasdaq New York stock exchange. For more information, please visit: www.evaxion-biotech.com.</w:t>
      </w:r>
    </w:p>
    <w:p>
      <w:pPr>
        <w:sectPr>
          <w:pgSz w:w="11900" w:h="16838" w:orient="portrait"/>
          <w:cols w:equalWidth="0" w:num="1">
            <w:col w:w="11220"/>
          </w:cols>
          <w:pgMar w:left="320" w:top="117" w:right="35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Source: Evaxion Biotech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the worldwide COVID-19 pandemic and the ongoing conflict in the region surrounding Ukraine and Russia;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1"/>
          <w:szCs w:val="21"/>
          <w:b w:val="1"/>
          <w:bCs w:val="1"/>
          <w:u w:val="single" w:color="auto"/>
          <w:color w:val="auto"/>
        </w:rPr>
        <w:t>www.sec.gov</w:t>
      </w:r>
      <w:r>
        <w:rPr>
          <w:rFonts w:ascii="Times New Roman" w:cs="Times New Roman" w:eastAsia="Times New Roman" w:hAnsi="Times New Roman"/>
          <w:sz w:val="21"/>
          <w:szCs w:val="21"/>
          <w:color w:val="auto"/>
        </w:rPr>
        <w:t>. We do not assume any obligation to update any forward-looking statements except as required by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Biotech A/S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Position Data (Unaudited)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(USD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auto"/>
              </w:rPr>
              <w:t>Dec 31,</w:t>
            </w:r>
          </w:p>
        </w:tc>
        <w:tc>
          <w:tcPr>
            <w:tcW w:w="300" w:type="dxa"/>
            <w:vAlign w:val="bottom"/>
          </w:tcPr>
          <w:p>
            <w:pPr>
              <w:spacing w:after="0"/>
              <w:rPr>
                <w:sz w:val="23"/>
                <w:szCs w:val="23"/>
                <w:color w:val="auto"/>
              </w:rPr>
            </w:pP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Dec 31,</w:t>
            </w:r>
          </w:p>
        </w:tc>
        <w:tc>
          <w:tcPr>
            <w:tcW w:w="0" w:type="dxa"/>
            <w:vAlign w:val="bottom"/>
          </w:tcPr>
          <w:p>
            <w:pPr>
              <w:spacing w:after="0"/>
              <w:rPr>
                <w:sz w:val="1"/>
                <w:szCs w:val="1"/>
                <w:color w:val="auto"/>
              </w:rPr>
            </w:pPr>
          </w:p>
        </w:tc>
      </w:tr>
      <w:tr>
        <w:trPr>
          <w:trHeight w:val="287"/>
        </w:trPr>
        <w:tc>
          <w:tcPr>
            <w:tcW w:w="7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2022</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64"/>
        </w:trPr>
        <w:tc>
          <w:tcPr>
            <w:tcW w:w="7800" w:type="dxa"/>
            <w:vAlign w:val="bottom"/>
            <w:vMerge w:val="continue"/>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13,184</w:t>
            </w:r>
          </w:p>
        </w:tc>
        <w:tc>
          <w:tcPr>
            <w:tcW w:w="24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32,166</w:t>
            </w:r>
          </w:p>
        </w:tc>
        <w:tc>
          <w:tcPr>
            <w:tcW w:w="0" w:type="dxa"/>
            <w:vAlign w:val="bottom"/>
          </w:tcPr>
          <w:p>
            <w:pPr>
              <w:spacing w:after="0"/>
              <w:rPr>
                <w:sz w:val="1"/>
                <w:szCs w:val="1"/>
                <w:color w:val="auto"/>
              </w:rPr>
            </w:pPr>
          </w:p>
        </w:tc>
      </w:tr>
      <w:tr>
        <w:trPr>
          <w:trHeight w:val="263"/>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22,025</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40,163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Total liabilities</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8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13,722</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7,726</w:t>
            </w:r>
          </w:p>
        </w:tc>
        <w:tc>
          <w:tcPr>
            <w:tcW w:w="0" w:type="dxa"/>
            <w:vAlign w:val="bottom"/>
          </w:tcPr>
          <w:p>
            <w:pPr>
              <w:spacing w:after="0"/>
              <w:rPr>
                <w:sz w:val="1"/>
                <w:szCs w:val="1"/>
                <w:color w:val="auto"/>
              </w:rPr>
            </w:pPr>
          </w:p>
        </w:tc>
      </w:tr>
      <w:tr>
        <w:trPr>
          <w:trHeight w:val="250"/>
        </w:trPr>
        <w:tc>
          <w:tcPr>
            <w:tcW w:w="78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Share capital</w:t>
            </w:r>
          </w:p>
        </w:tc>
        <w:tc>
          <w:tcPr>
            <w:tcW w:w="280" w:type="dxa"/>
            <w:vAlign w:val="bottom"/>
          </w:tcPr>
          <w:p>
            <w:pPr>
              <w:spacing w:after="0"/>
              <w:rPr>
                <w:sz w:val="21"/>
                <w:szCs w:val="21"/>
                <w:color w:val="auto"/>
              </w:rPr>
            </w:pPr>
          </w:p>
        </w:tc>
        <w:tc>
          <w:tcPr>
            <w:tcW w:w="13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3,886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3,755</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Other reserves</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77,076</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79,114</w:t>
            </w:r>
          </w:p>
        </w:tc>
        <w:tc>
          <w:tcPr>
            <w:tcW w:w="0" w:type="dxa"/>
            <w:vAlign w:val="bottom"/>
          </w:tcPr>
          <w:p>
            <w:pPr>
              <w:spacing w:after="0"/>
              <w:rPr>
                <w:sz w:val="1"/>
                <w:szCs w:val="1"/>
                <w:color w:val="auto"/>
              </w:rPr>
            </w:pPr>
          </w:p>
        </w:tc>
      </w:t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(72,659)</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(50,432)</w:t>
            </w:r>
          </w:p>
        </w:tc>
        <w:tc>
          <w:tcPr>
            <w:tcW w:w="0" w:type="dxa"/>
            <w:vAlign w:val="bottom"/>
          </w:tcPr>
          <w:p>
            <w:pPr>
              <w:spacing w:after="0"/>
              <w:rPr>
                <w:sz w:val="1"/>
                <w:szCs w:val="1"/>
                <w:color w:val="auto"/>
              </w:rPr>
            </w:pPr>
          </w:p>
        </w:tc>
      </w:tr>
      <w:tr>
        <w:trPr>
          <w:trHeight w:val="265"/>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Total equity</w:t>
            </w: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8,303</w:t>
            </w:r>
          </w:p>
        </w:tc>
        <w:tc>
          <w:tcPr>
            <w:tcW w:w="2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32,437</w:t>
            </w:r>
          </w:p>
        </w:tc>
        <w:tc>
          <w:tcPr>
            <w:tcW w:w="0" w:type="dxa"/>
            <w:vAlign w:val="bottom"/>
          </w:tcPr>
          <w:p>
            <w:pPr>
              <w:spacing w:after="0"/>
              <w:rPr>
                <w:sz w:val="1"/>
                <w:szCs w:val="1"/>
                <w:color w:val="auto"/>
              </w:rPr>
            </w:pPr>
          </w:p>
        </w:tc>
      </w:tr>
      <w:tr>
        <w:trPr>
          <w:trHeight w:val="263"/>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22,025</w:t>
            </w:r>
          </w:p>
        </w:tc>
        <w:tc>
          <w:tcPr>
            <w:tcW w:w="24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40,163</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Biotech A/S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Loss Data (Unaudited)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(USD 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Three Months</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Twelve months</w:t>
            </w:r>
          </w:p>
        </w:tc>
        <w:tc>
          <w:tcPr>
            <w:tcW w:w="1000" w:type="dxa"/>
            <w:vAlign w:val="bottom"/>
          </w:tcPr>
          <w:p>
            <w:pPr>
              <w:spacing w:after="0"/>
              <w:rPr>
                <w:sz w:val="23"/>
                <w:szCs w:val="23"/>
                <w:color w:val="auto"/>
              </w:rPr>
            </w:pPr>
          </w:p>
        </w:tc>
      </w:tr>
      <w:tr>
        <w:trPr>
          <w:trHeight w:val="270"/>
        </w:trPr>
        <w:tc>
          <w:tcPr>
            <w:tcW w:w="4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Ended Dec 31</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Ended Dec 31</w:t>
            </w:r>
          </w:p>
        </w:tc>
        <w:tc>
          <w:tcPr>
            <w:tcW w:w="1000" w:type="dxa"/>
            <w:vAlign w:val="bottom"/>
          </w:tcPr>
          <w:p>
            <w:pPr>
              <w:spacing w:after="0"/>
              <w:rPr>
                <w:sz w:val="23"/>
                <w:szCs w:val="23"/>
                <w:color w:val="auto"/>
              </w:rPr>
            </w:pPr>
          </w:p>
        </w:tc>
      </w:tr>
      <w:tr>
        <w:trPr>
          <w:trHeight w:val="286"/>
        </w:trPr>
        <w:tc>
          <w:tcPr>
            <w:tcW w:w="4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2022</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w w:val="99"/>
              </w:rPr>
              <w:t>2021</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2022</w:t>
            </w:r>
          </w:p>
        </w:tc>
        <w:tc>
          <w:tcPr>
            <w:tcW w:w="2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w w:val="90"/>
              </w:rPr>
              <w:t>2021</w:t>
            </w:r>
          </w:p>
        </w:tc>
      </w:tr>
      <w:tr>
        <w:trPr>
          <w:trHeight w:val="251"/>
        </w:trPr>
        <w:tc>
          <w:tcPr>
            <w:tcW w:w="41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Research and development expenses</w:t>
            </w:r>
          </w:p>
        </w:tc>
        <w:tc>
          <w:tcPr>
            <w:tcW w:w="340" w:type="dxa"/>
            <w:vAlign w:val="bottom"/>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(4,073)</w:t>
            </w:r>
          </w:p>
        </w:tc>
        <w:tc>
          <w:tcPr>
            <w:tcW w:w="240" w:type="dxa"/>
            <w:vAlign w:val="bottom"/>
          </w:tcPr>
          <w:p>
            <w:pPr>
              <w:spacing w:after="0"/>
              <w:rPr>
                <w:sz w:val="21"/>
                <w:szCs w:val="21"/>
                <w:color w:val="auto"/>
              </w:rPr>
            </w:pPr>
          </w:p>
        </w:tc>
        <w:tc>
          <w:tcPr>
            <w:tcW w:w="540" w:type="dxa"/>
            <w:vAlign w:val="bottom"/>
          </w:tcPr>
          <w:p>
            <w:pPr>
              <w:jc w:val="right"/>
              <w:ind w:right="3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(6,154)</w:t>
            </w:r>
          </w:p>
        </w:tc>
        <w:tc>
          <w:tcPr>
            <w:tcW w:w="240" w:type="dxa"/>
            <w:vAlign w:val="bottom"/>
          </w:tcPr>
          <w:p>
            <w:pPr>
              <w:spacing w:after="0"/>
              <w:rPr>
                <w:sz w:val="21"/>
                <w:szCs w:val="21"/>
                <w:color w:val="auto"/>
              </w:rPr>
            </w:pPr>
          </w:p>
        </w:tc>
        <w:tc>
          <w:tcPr>
            <w:tcW w:w="340" w:type="dxa"/>
            <w:vAlign w:val="bottom"/>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(17,056)</w:t>
            </w:r>
          </w:p>
        </w:tc>
        <w:tc>
          <w:tcPr>
            <w:tcW w:w="240" w:type="dxa"/>
            <w:vAlign w:val="bottom"/>
          </w:tcPr>
          <w:p>
            <w:pPr>
              <w:spacing w:after="0"/>
              <w:rPr>
                <w:sz w:val="21"/>
                <w:szCs w:val="21"/>
                <w:color w:val="auto"/>
              </w:rPr>
            </w:pPr>
          </w:p>
        </w:tc>
        <w:tc>
          <w:tcPr>
            <w:tcW w:w="580" w:type="dxa"/>
            <w:vAlign w:val="bottom"/>
          </w:tcPr>
          <w:p>
            <w:pPr>
              <w:jc w:val="right"/>
              <w:ind w:right="35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(19,583)</w:t>
            </w:r>
          </w:p>
        </w:tc>
      </w:tr>
      <w:tr>
        <w:trPr>
          <w:trHeight w:val="282"/>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(2,452)</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(1,567)</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(8,208)</w:t>
            </w:r>
          </w:p>
        </w:tc>
        <w:tc>
          <w:tcPr>
            <w:tcW w:w="2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(6,251)</w:t>
            </w:r>
          </w:p>
        </w:tc>
      </w:tr>
      <w:tr>
        <w:trPr>
          <w:trHeight w:val="251"/>
        </w:trPr>
        <w:tc>
          <w:tcPr>
            <w:tcW w:w="41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loss</w:t>
            </w:r>
          </w:p>
        </w:tc>
        <w:tc>
          <w:tcPr>
            <w:tcW w:w="340" w:type="dxa"/>
            <w:vAlign w:val="bottom"/>
          </w:tcPr>
          <w:p>
            <w:pPr>
              <w:spacing w:after="0"/>
              <w:rPr>
                <w:sz w:val="21"/>
                <w:szCs w:val="21"/>
                <w:color w:val="auto"/>
              </w:rPr>
            </w:pP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(6,525)</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(7,721)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(25,264)</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(25,834)</w:t>
            </w: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Finance income</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746</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2,831</w:t>
            </w: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2,039</w:t>
            </w:r>
          </w:p>
        </w:tc>
      </w:tr>
      <w:tr>
        <w:trPr>
          <w:trHeight w:val="282"/>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Finance expenses</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(590)</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(1,508)</w:t>
            </w:r>
          </w:p>
        </w:tc>
        <w:tc>
          <w:tcPr>
            <w:tcW w:w="2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(915)</w:t>
            </w:r>
          </w:p>
        </w:tc>
      </w:tr>
      <w:tr>
        <w:trPr>
          <w:trHeight w:val="251"/>
        </w:trPr>
        <w:tc>
          <w:tcPr>
            <w:tcW w:w="41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loss before tax</w:t>
            </w:r>
          </w:p>
        </w:tc>
        <w:tc>
          <w:tcPr>
            <w:tcW w:w="340" w:type="dxa"/>
            <w:vAlign w:val="bottom"/>
          </w:tcPr>
          <w:p>
            <w:pPr>
              <w:spacing w:after="0"/>
              <w:rPr>
                <w:sz w:val="21"/>
                <w:szCs w:val="21"/>
                <w:color w:val="auto"/>
              </w:rPr>
            </w:pP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(7,045)</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(7,047)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(23,941)</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(24,710)</w:t>
            </w:r>
          </w:p>
        </w:tc>
      </w:tr>
      <w:tr>
        <w:trPr>
          <w:trHeight w:val="282"/>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173</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(1,323)</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772</w:t>
            </w:r>
          </w:p>
        </w:tc>
        <w:tc>
          <w:tcPr>
            <w:tcW w:w="2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w:t>
            </w:r>
          </w:p>
        </w:tc>
      </w:tr>
      <w:tr>
        <w:trPr>
          <w:trHeight w:val="251"/>
        </w:trPr>
        <w:tc>
          <w:tcPr>
            <w:tcW w:w="41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loss for the period</w:t>
            </w:r>
          </w:p>
        </w:tc>
        <w:tc>
          <w:tcPr>
            <w:tcW w:w="340" w:type="dxa"/>
            <w:vAlign w:val="bottom"/>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(6,872)</w:t>
            </w:r>
          </w:p>
        </w:tc>
        <w:tc>
          <w:tcPr>
            <w:tcW w:w="240" w:type="dxa"/>
            <w:vAlign w:val="bottom"/>
          </w:tcPr>
          <w:p>
            <w:pPr>
              <w:spacing w:after="0"/>
              <w:rPr>
                <w:sz w:val="21"/>
                <w:szCs w:val="21"/>
                <w:color w:val="auto"/>
              </w:rPr>
            </w:pPr>
          </w:p>
        </w:tc>
        <w:tc>
          <w:tcPr>
            <w:tcW w:w="540" w:type="dxa"/>
            <w:vAlign w:val="bottom"/>
          </w:tcPr>
          <w:p>
            <w:pPr>
              <w:jc w:val="right"/>
              <w:ind w:right="3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(8,370)</w:t>
            </w:r>
          </w:p>
        </w:tc>
        <w:tc>
          <w:tcPr>
            <w:tcW w:w="240" w:type="dxa"/>
            <w:vAlign w:val="bottom"/>
          </w:tcPr>
          <w:p>
            <w:pPr>
              <w:spacing w:after="0"/>
              <w:rPr>
                <w:sz w:val="21"/>
                <w:szCs w:val="21"/>
                <w:color w:val="auto"/>
              </w:rPr>
            </w:pPr>
          </w:p>
        </w:tc>
        <w:tc>
          <w:tcPr>
            <w:tcW w:w="340" w:type="dxa"/>
            <w:vAlign w:val="bottom"/>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(23,169)</w:t>
            </w:r>
          </w:p>
        </w:tc>
        <w:tc>
          <w:tcPr>
            <w:tcW w:w="240" w:type="dxa"/>
            <w:vAlign w:val="bottom"/>
          </w:tcPr>
          <w:p>
            <w:pPr>
              <w:spacing w:after="0"/>
              <w:rPr>
                <w:sz w:val="21"/>
                <w:szCs w:val="21"/>
                <w:color w:val="auto"/>
              </w:rPr>
            </w:pPr>
          </w:p>
        </w:tc>
        <w:tc>
          <w:tcPr>
            <w:tcW w:w="580" w:type="dxa"/>
            <w:vAlign w:val="bottom"/>
          </w:tcPr>
          <w:p>
            <w:pPr>
              <w:jc w:val="right"/>
              <w:ind w:right="35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(24,532)</w:t>
            </w:r>
          </w:p>
        </w:tc>
      </w:tr>
      <w:tr>
        <w:trPr>
          <w:trHeight w:val="243"/>
        </w:trPr>
        <w:tc>
          <w:tcPr>
            <w:tcW w:w="4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loss attributable to equity holders of</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Evaxion Biotech A/S</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(6,872)</w:t>
            </w:r>
          </w:p>
        </w:tc>
        <w:tc>
          <w:tcPr>
            <w:tcW w:w="240" w:type="dxa"/>
            <w:vAlign w:val="bottom"/>
          </w:tcPr>
          <w:p>
            <w:pPr>
              <w:spacing w:after="0"/>
              <w:rPr>
                <w:sz w:val="23"/>
                <w:szCs w:val="23"/>
                <w:color w:val="auto"/>
              </w:rPr>
            </w:pPr>
          </w:p>
        </w:tc>
        <w:tc>
          <w:tcPr>
            <w:tcW w:w="5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(8,370)</w:t>
            </w:r>
          </w:p>
        </w:tc>
        <w:tc>
          <w:tcPr>
            <w:tcW w:w="24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(23,169)</w:t>
            </w:r>
          </w:p>
        </w:tc>
        <w:tc>
          <w:tcPr>
            <w:tcW w:w="240" w:type="dxa"/>
            <w:vAlign w:val="bottom"/>
          </w:tcPr>
          <w:p>
            <w:pPr>
              <w:spacing w:after="0"/>
              <w:rPr>
                <w:sz w:val="23"/>
                <w:szCs w:val="23"/>
                <w:color w:val="auto"/>
              </w:rPr>
            </w:pPr>
          </w:p>
        </w:tc>
        <w:tc>
          <w:tcPr>
            <w:tcW w:w="5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(24,532)</w:t>
            </w: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Loss per share – basic and diluted</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(0.29)</w:t>
            </w:r>
          </w:p>
        </w:tc>
        <w:tc>
          <w:tcPr>
            <w:tcW w:w="240" w:type="dxa"/>
            <w:vAlign w:val="bottom"/>
          </w:tcPr>
          <w:p>
            <w:pPr>
              <w:spacing w:after="0"/>
              <w:rPr>
                <w:sz w:val="23"/>
                <w:szCs w:val="23"/>
                <w:color w:val="auto"/>
              </w:rPr>
            </w:pPr>
          </w:p>
        </w:tc>
        <w:tc>
          <w:tcPr>
            <w:tcW w:w="5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(0.39)</w:t>
            </w:r>
          </w:p>
        </w:tc>
        <w:tc>
          <w:tcPr>
            <w:tcW w:w="24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(0.98)</w:t>
            </w:r>
          </w:p>
        </w:tc>
        <w:tc>
          <w:tcPr>
            <w:tcW w:w="240" w:type="dxa"/>
            <w:vAlign w:val="bottom"/>
          </w:tcPr>
          <w:p>
            <w:pPr>
              <w:spacing w:after="0"/>
              <w:rPr>
                <w:sz w:val="23"/>
                <w:szCs w:val="23"/>
                <w:color w:val="auto"/>
              </w:rPr>
            </w:pPr>
          </w:p>
        </w:tc>
        <w:tc>
          <w:tcPr>
            <w:tcW w:w="5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243"/>
        </w:trPr>
        <w:tc>
          <w:tcPr>
            <w:tcW w:w="4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Number of shares used for calculation (basic</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2"/>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and diluted)</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24,082,247</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21,671,312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23,638,685</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19,493,143</w:t>
            </w:r>
          </w:p>
        </w:tc>
      </w:tr>
    </w:tbl>
    <w:p>
      <w:pPr>
        <w:sectPr>
          <w:pgSz w:w="11900" w:h="16838" w:orient="portrait"/>
          <w:cols w:equalWidth="0" w:num="1">
            <w:col w:w="11240"/>
          </w:cols>
          <w:pgMar w:left="320" w:top="111" w:right="339" w:bottom="138"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For more information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230" w:lineRule="auto"/>
        <w:rPr>
          <w:sz w:val="20"/>
          <w:szCs w:val="20"/>
          <w:color w:val="auto"/>
        </w:rPr>
      </w:pPr>
      <w:r>
        <w:rPr>
          <w:rFonts w:ascii="Times New Roman" w:cs="Times New Roman" w:eastAsia="Times New Roman" w:hAnsi="Times New Roman"/>
          <w:sz w:val="22"/>
          <w:szCs w:val="22"/>
          <w:color w:val="auto"/>
        </w:rPr>
        <w:t>Per Norlén</w:t>
      </w:r>
    </w:p>
    <w:p>
      <w:pPr>
        <w:spacing w:after="0" w:line="231" w:lineRule="auto"/>
        <w:rPr>
          <w:sz w:val="20"/>
          <w:szCs w:val="20"/>
          <w:color w:val="auto"/>
        </w:rPr>
      </w:pPr>
      <w:r>
        <w:rPr>
          <w:rFonts w:ascii="Times New Roman" w:cs="Times New Roman" w:eastAsia="Times New Roman" w:hAnsi="Times New Roman"/>
          <w:sz w:val="22"/>
          <w:szCs w:val="22"/>
          <w:color w:val="auto"/>
        </w:rPr>
        <w:t>Chief Executive Officer</w:t>
      </w:r>
    </w:p>
    <w:p>
      <w:pPr>
        <w:spacing w:after="0" w:line="230" w:lineRule="auto"/>
        <w:rPr>
          <w:sz w:val="20"/>
          <w:szCs w:val="20"/>
          <w:color w:val="auto"/>
        </w:rPr>
      </w:pPr>
      <w:r>
        <w:rPr>
          <w:rFonts w:ascii="Times New Roman" w:cs="Times New Roman" w:eastAsia="Times New Roman" w:hAnsi="Times New Roman"/>
          <w:sz w:val="22"/>
          <w:szCs w:val="22"/>
          <w:color w:val="auto"/>
        </w:rPr>
        <w:t>pno@evaxion-biotech.com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+45 53 53 49 13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LifeSci Advisors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Corey Davis, Ph.D.</w:t>
      </w:r>
    </w:p>
    <w:p>
      <w:pPr>
        <w:spacing w:after="0" w:line="230" w:lineRule="auto"/>
        <w:rPr>
          <w:sz w:val="20"/>
          <w:szCs w:val="20"/>
          <w:color w:val="auto"/>
        </w:rPr>
      </w:pPr>
      <w:r>
        <w:rPr>
          <w:rFonts w:ascii="Times New Roman" w:cs="Times New Roman" w:eastAsia="Times New Roman" w:hAnsi="Times New Roman"/>
          <w:sz w:val="22"/>
          <w:szCs w:val="22"/>
          <w:color w:val="auto"/>
        </w:rPr>
        <w:t>Managing Director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cdavis@lifesciadvisors.com</w:t>
      </w:r>
    </w:p>
    <w:p>
      <w:pPr>
        <w:spacing w:after="0" w:line="15"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212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915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2577</w:t>
      </w:r>
    </w:p>
    <w:sectPr>
      <w:pgSz w:w="11900" w:h="16838" w:orient="portrait"/>
      <w:cols w:equalWidth="0" w:num="1">
        <w:col w:w="10139"/>
      </w:cols>
      <w:pgMar w:left="32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2023-04-27T07:31:53Z</dcterms:created>
  <dcterms:modified xsi:type="dcterms:W3CDTF">2023-04-27T07:31:53Z</dcterms:modified>
</cp:coreProperties>
</file>