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ind w:right="19"/>
        <w:spacing w:after="0"/>
        <w:rPr>
          <w:sz w:val="20"/>
          <w:szCs w:val="20"/>
          <w:color w:val="auto"/>
        </w:rPr>
      </w:pPr>
      <w:r>
        <w:rPr>
          <w:rFonts w:ascii="Arial" w:cs="Arial" w:eastAsia="Arial" w:hAnsi="Arial"/>
          <w:sz w:val="29"/>
          <w:szCs w:val="29"/>
          <w:b w:val="1"/>
          <w:bCs w:val="1"/>
          <w:color w:val="auto"/>
        </w:rPr>
        <w:drawing>
          <wp:anchor simplePos="0" relativeHeight="251657728" behindDoc="1" locked="0" layoutInCell="0" allowOverlap="1">
            <wp:simplePos x="0" y="0"/>
            <wp:positionH relativeFrom="page">
              <wp:posOffset>945515</wp:posOffset>
            </wp:positionH>
            <wp:positionV relativeFrom="page">
              <wp:posOffset>431800</wp:posOffset>
            </wp:positionV>
            <wp:extent cx="5657850" cy="3429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5657850" cy="34290"/>
                    </a:xfrm>
                    <a:prstGeom prst="rect">
                      <a:avLst/>
                    </a:prstGeom>
                    <a:noFill/>
                  </pic:spPr>
                </pic:pic>
              </a:graphicData>
            </a:graphic>
          </wp:anchor>
        </w:drawing>
        <w:drawing>
          <wp:anchor simplePos="0" relativeHeight="251657728" behindDoc="1" locked="0" layoutInCell="0" allowOverlap="1">
            <wp:simplePos x="0" y="0"/>
            <wp:positionH relativeFrom="page">
              <wp:posOffset>945515</wp:posOffset>
            </wp:positionH>
            <wp:positionV relativeFrom="page">
              <wp:posOffset>483235</wp:posOffset>
            </wp:positionV>
            <wp:extent cx="5657850" cy="825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5657850" cy="8255"/>
                    </a:xfrm>
                    <a:prstGeom prst="rect">
                      <a:avLst/>
                    </a:prstGeom>
                    <a:noFill/>
                  </pic:spPr>
                </pic:pic>
              </a:graphicData>
            </a:graphic>
          </wp:anchor>
        </w:drawing>
        <w:t>UNITED STATES</w:t>
      </w:r>
    </w:p>
    <w:p>
      <w:pPr>
        <w:spacing w:after="0" w:line="36" w:lineRule="exact"/>
        <w:rPr>
          <w:sz w:val="24"/>
          <w:szCs w:val="24"/>
          <w:color w:val="auto"/>
        </w:rPr>
      </w:pPr>
    </w:p>
    <w:p>
      <w:pPr>
        <w:jc w:val="center"/>
        <w:ind w:right="19"/>
        <w:spacing w:after="0"/>
        <w:rPr>
          <w:sz w:val="20"/>
          <w:szCs w:val="20"/>
          <w:color w:val="auto"/>
        </w:rPr>
      </w:pPr>
      <w:r>
        <w:rPr>
          <w:rFonts w:ascii="Arial" w:cs="Arial" w:eastAsia="Arial" w:hAnsi="Arial"/>
          <w:sz w:val="29"/>
          <w:szCs w:val="29"/>
          <w:b w:val="1"/>
          <w:bCs w:val="1"/>
          <w:color w:val="auto"/>
        </w:rPr>
        <w:t>SECURITIES AND EXCHANGE COMMISSION</w:t>
      </w:r>
    </w:p>
    <w:p>
      <w:pPr>
        <w:spacing w:after="0" w:line="3" w:lineRule="exact"/>
        <w:rPr>
          <w:sz w:val="24"/>
          <w:szCs w:val="24"/>
          <w:color w:val="auto"/>
        </w:rPr>
      </w:pPr>
    </w:p>
    <w:p>
      <w:pPr>
        <w:jc w:val="center"/>
        <w:ind w:right="19"/>
        <w:spacing w:after="0"/>
        <w:rPr>
          <w:sz w:val="20"/>
          <w:szCs w:val="20"/>
          <w:color w:val="auto"/>
        </w:rPr>
      </w:pPr>
      <w:r>
        <w:rPr>
          <w:rFonts w:ascii="Arial" w:cs="Arial" w:eastAsia="Arial" w:hAnsi="Arial"/>
          <w:sz w:val="20"/>
          <w:szCs w:val="20"/>
          <w:b w:val="1"/>
          <w:bCs w:val="1"/>
          <w:color w:val="auto"/>
        </w:rPr>
        <w:t>Washington, D.C. 20549</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2157095</wp:posOffset>
            </wp:positionH>
            <wp:positionV relativeFrom="paragraph">
              <wp:posOffset>85725</wp:posOffset>
            </wp:positionV>
            <wp:extent cx="1405890" cy="825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1405890" cy="8255"/>
                    </a:xfrm>
                    <a:prstGeom prst="rect">
                      <a:avLst/>
                    </a:prstGeom>
                    <a:noFill/>
                  </pic:spPr>
                </pic:pic>
              </a:graphicData>
            </a:graphic>
          </wp:anchor>
        </w:drawing>
      </w:r>
    </w:p>
    <w:p>
      <w:pPr>
        <w:spacing w:after="0" w:line="200" w:lineRule="exact"/>
        <w:rPr>
          <w:sz w:val="24"/>
          <w:szCs w:val="24"/>
          <w:color w:val="auto"/>
        </w:rPr>
      </w:pPr>
    </w:p>
    <w:p>
      <w:pPr>
        <w:spacing w:after="0" w:line="221" w:lineRule="exact"/>
        <w:rPr>
          <w:sz w:val="24"/>
          <w:szCs w:val="24"/>
          <w:color w:val="auto"/>
        </w:rPr>
      </w:pPr>
    </w:p>
    <w:p>
      <w:pPr>
        <w:jc w:val="center"/>
        <w:ind w:right="19"/>
        <w:spacing w:after="0"/>
        <w:rPr>
          <w:sz w:val="20"/>
          <w:szCs w:val="20"/>
          <w:color w:val="auto"/>
        </w:rPr>
      </w:pPr>
      <w:r>
        <w:rPr>
          <w:rFonts w:ascii="Arial" w:cs="Arial" w:eastAsia="Arial" w:hAnsi="Arial"/>
          <w:sz w:val="29"/>
          <w:szCs w:val="29"/>
          <w:b w:val="1"/>
          <w:bCs w:val="1"/>
          <w:color w:val="auto"/>
        </w:rPr>
        <w:t>FORM 6-K</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2157095</wp:posOffset>
            </wp:positionH>
            <wp:positionV relativeFrom="paragraph">
              <wp:posOffset>108585</wp:posOffset>
            </wp:positionV>
            <wp:extent cx="1405890" cy="825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1405890" cy="8255"/>
                    </a:xfrm>
                    <a:prstGeom prst="rect">
                      <a:avLst/>
                    </a:prstGeom>
                    <a:noFill/>
                  </pic:spPr>
                </pic:pic>
              </a:graphicData>
            </a:graphic>
          </wp:anchor>
        </w:drawing>
      </w:r>
    </w:p>
    <w:p>
      <w:pPr>
        <w:spacing w:after="0" w:line="200" w:lineRule="exact"/>
        <w:rPr>
          <w:sz w:val="24"/>
          <w:szCs w:val="24"/>
          <w:color w:val="auto"/>
        </w:rPr>
      </w:pPr>
    </w:p>
    <w:p>
      <w:pPr>
        <w:spacing w:after="0" w:line="270" w:lineRule="exact"/>
        <w:rPr>
          <w:sz w:val="24"/>
          <w:szCs w:val="24"/>
          <w:color w:val="auto"/>
        </w:rPr>
      </w:pPr>
    </w:p>
    <w:p>
      <w:pPr>
        <w:jc w:val="center"/>
        <w:ind w:right="19"/>
        <w:spacing w:after="0"/>
        <w:rPr>
          <w:sz w:val="20"/>
          <w:szCs w:val="20"/>
          <w:color w:val="auto"/>
        </w:rPr>
      </w:pPr>
      <w:r>
        <w:rPr>
          <w:rFonts w:ascii="Arial" w:cs="Arial" w:eastAsia="Arial" w:hAnsi="Arial"/>
          <w:sz w:val="18"/>
          <w:szCs w:val="18"/>
          <w:b w:val="1"/>
          <w:bCs w:val="1"/>
          <w:color w:val="auto"/>
        </w:rPr>
        <w:t>REPORT OF FOREIGN PRIVATE ISSUER</w:t>
      </w:r>
    </w:p>
    <w:p>
      <w:pPr>
        <w:spacing w:after="0" w:line="27" w:lineRule="exact"/>
        <w:rPr>
          <w:sz w:val="24"/>
          <w:szCs w:val="24"/>
          <w:color w:val="auto"/>
        </w:rPr>
      </w:pPr>
    </w:p>
    <w:p>
      <w:pPr>
        <w:jc w:val="center"/>
        <w:ind w:right="19"/>
        <w:spacing w:after="0"/>
        <w:rPr>
          <w:sz w:val="20"/>
          <w:szCs w:val="20"/>
          <w:color w:val="auto"/>
        </w:rPr>
      </w:pPr>
      <w:r>
        <w:rPr>
          <w:rFonts w:ascii="Arial" w:cs="Arial" w:eastAsia="Arial" w:hAnsi="Arial"/>
          <w:sz w:val="18"/>
          <w:szCs w:val="18"/>
          <w:b w:val="1"/>
          <w:bCs w:val="1"/>
          <w:color w:val="auto"/>
        </w:rPr>
        <w:t>PURSUANT TO SECTION 13a-16 OR 15d-16</w:t>
      </w:r>
    </w:p>
    <w:p>
      <w:pPr>
        <w:spacing w:after="0" w:line="9" w:lineRule="exact"/>
        <w:rPr>
          <w:sz w:val="24"/>
          <w:szCs w:val="24"/>
          <w:color w:val="auto"/>
        </w:rPr>
      </w:pPr>
    </w:p>
    <w:p>
      <w:pPr>
        <w:jc w:val="center"/>
        <w:ind w:right="19"/>
        <w:spacing w:after="0"/>
        <w:rPr>
          <w:sz w:val="20"/>
          <w:szCs w:val="20"/>
          <w:color w:val="auto"/>
        </w:rPr>
      </w:pPr>
      <w:r>
        <w:rPr>
          <w:rFonts w:ascii="Arial" w:cs="Arial" w:eastAsia="Arial" w:hAnsi="Arial"/>
          <w:sz w:val="18"/>
          <w:szCs w:val="18"/>
          <w:b w:val="1"/>
          <w:bCs w:val="1"/>
          <w:color w:val="auto"/>
        </w:rPr>
        <w:t>UNDER THE SECURITIES EXCHANGE ACT OF 1934</w:t>
      </w:r>
    </w:p>
    <w:p>
      <w:pPr>
        <w:spacing w:after="0" w:line="211" w:lineRule="exact"/>
        <w:rPr>
          <w:sz w:val="24"/>
          <w:szCs w:val="24"/>
          <w:color w:val="auto"/>
        </w:rPr>
      </w:pPr>
    </w:p>
    <w:p>
      <w:pPr>
        <w:jc w:val="center"/>
        <w:ind w:right="19"/>
        <w:spacing w:after="0"/>
        <w:rPr>
          <w:sz w:val="20"/>
          <w:szCs w:val="20"/>
          <w:color w:val="auto"/>
        </w:rPr>
      </w:pPr>
      <w:r>
        <w:rPr>
          <w:rFonts w:ascii="Arial" w:cs="Arial" w:eastAsia="Arial" w:hAnsi="Arial"/>
          <w:sz w:val="16"/>
          <w:szCs w:val="16"/>
          <w:b w:val="1"/>
          <w:bCs w:val="1"/>
          <w:color w:val="auto"/>
        </w:rPr>
        <w:t>For the month of May 2021</w:t>
      </w:r>
    </w:p>
    <w:p>
      <w:pPr>
        <w:spacing w:after="0" w:line="235" w:lineRule="exact"/>
        <w:rPr>
          <w:sz w:val="24"/>
          <w:szCs w:val="24"/>
          <w:color w:val="auto"/>
        </w:rPr>
      </w:pPr>
    </w:p>
    <w:p>
      <w:pPr>
        <w:jc w:val="center"/>
        <w:ind w:right="19"/>
        <w:spacing w:after="0"/>
        <w:rPr>
          <w:sz w:val="20"/>
          <w:szCs w:val="20"/>
          <w:color w:val="auto"/>
        </w:rPr>
      </w:pPr>
      <w:r>
        <w:rPr>
          <w:rFonts w:ascii="Arial" w:cs="Arial" w:eastAsia="Arial" w:hAnsi="Arial"/>
          <w:sz w:val="16"/>
          <w:szCs w:val="16"/>
          <w:b w:val="1"/>
          <w:bCs w:val="1"/>
          <w:color w:val="auto"/>
        </w:rPr>
        <w:t>Commission File Number: 001-39950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2157095</wp:posOffset>
            </wp:positionH>
            <wp:positionV relativeFrom="paragraph">
              <wp:posOffset>106045</wp:posOffset>
            </wp:positionV>
            <wp:extent cx="1405890" cy="825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1405890" cy="8255"/>
                    </a:xfrm>
                    <a:prstGeom prst="rect">
                      <a:avLst/>
                    </a:prstGeom>
                    <a:noFill/>
                  </pic:spPr>
                </pic:pic>
              </a:graphicData>
            </a:graphic>
          </wp:anchor>
        </w:drawing>
      </w:r>
    </w:p>
    <w:p>
      <w:pPr>
        <w:spacing w:after="0" w:line="200" w:lineRule="exact"/>
        <w:rPr>
          <w:sz w:val="24"/>
          <w:szCs w:val="24"/>
          <w:color w:val="auto"/>
        </w:rPr>
      </w:pPr>
    </w:p>
    <w:p>
      <w:pPr>
        <w:spacing w:after="0" w:line="237" w:lineRule="exact"/>
        <w:rPr>
          <w:sz w:val="24"/>
          <w:szCs w:val="24"/>
          <w:color w:val="auto"/>
        </w:rPr>
      </w:pPr>
    </w:p>
    <w:p>
      <w:pPr>
        <w:jc w:val="center"/>
        <w:ind w:right="19"/>
        <w:spacing w:after="0"/>
        <w:rPr>
          <w:sz w:val="20"/>
          <w:szCs w:val="20"/>
          <w:color w:val="auto"/>
        </w:rPr>
      </w:pPr>
      <w:r>
        <w:rPr>
          <w:rFonts w:ascii="Arial" w:cs="Arial" w:eastAsia="Arial" w:hAnsi="Arial"/>
          <w:sz w:val="40"/>
          <w:szCs w:val="40"/>
          <w:b w:val="1"/>
          <w:bCs w:val="1"/>
          <w:color w:val="auto"/>
        </w:rPr>
        <w:t>Evaxion Biotech A/S</w:t>
      </w:r>
    </w:p>
    <w:p>
      <w:pPr>
        <w:spacing w:after="0" w:line="114" w:lineRule="exact"/>
        <w:rPr>
          <w:sz w:val="24"/>
          <w:szCs w:val="24"/>
          <w:color w:val="auto"/>
        </w:rPr>
      </w:pPr>
    </w:p>
    <w:p>
      <w:pPr>
        <w:jc w:val="center"/>
        <w:ind w:right="19"/>
        <w:spacing w:after="0"/>
        <w:rPr>
          <w:sz w:val="20"/>
          <w:szCs w:val="20"/>
          <w:color w:val="auto"/>
        </w:rPr>
      </w:pPr>
      <w:r>
        <w:rPr>
          <w:rFonts w:ascii="Arial" w:cs="Arial" w:eastAsia="Arial" w:hAnsi="Arial"/>
          <w:sz w:val="16"/>
          <w:szCs w:val="16"/>
          <w:b w:val="1"/>
          <w:bCs w:val="1"/>
          <w:color w:val="auto"/>
        </w:rPr>
        <w:t>(Exact Name of Registrant as Specified in Its Charter)</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2157095</wp:posOffset>
            </wp:positionH>
            <wp:positionV relativeFrom="paragraph">
              <wp:posOffset>234950</wp:posOffset>
            </wp:positionV>
            <wp:extent cx="1405890" cy="1714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1405890" cy="17145"/>
                    </a:xfrm>
                    <a:prstGeom prst="rect">
                      <a:avLst/>
                    </a:prstGeom>
                    <a:noFill/>
                  </pic:spPr>
                </pic:pic>
              </a:graphicData>
            </a:graphic>
          </wp:anchor>
        </w:drawing>
      </w:r>
    </w:p>
    <w:p>
      <w:pPr>
        <w:spacing w:after="0" w:line="200" w:lineRule="exact"/>
        <w:rPr>
          <w:sz w:val="24"/>
          <w:szCs w:val="24"/>
          <w:color w:val="auto"/>
        </w:rPr>
      </w:pPr>
    </w:p>
    <w:p>
      <w:pPr>
        <w:spacing w:after="0" w:line="200" w:lineRule="exact"/>
        <w:rPr>
          <w:sz w:val="24"/>
          <w:szCs w:val="24"/>
          <w:color w:val="auto"/>
        </w:rPr>
      </w:pPr>
    </w:p>
    <w:p>
      <w:pPr>
        <w:spacing w:after="0" w:line="287" w:lineRule="exact"/>
        <w:rPr>
          <w:sz w:val="24"/>
          <w:szCs w:val="24"/>
          <w:color w:val="auto"/>
        </w:rPr>
      </w:pPr>
    </w:p>
    <w:p>
      <w:pPr>
        <w:jc w:val="center"/>
        <w:ind w:right="19"/>
        <w:spacing w:after="0"/>
        <w:rPr>
          <w:sz w:val="20"/>
          <w:szCs w:val="20"/>
          <w:color w:val="auto"/>
        </w:rPr>
      </w:pPr>
      <w:r>
        <w:rPr>
          <w:rFonts w:ascii="Arial" w:cs="Arial" w:eastAsia="Arial" w:hAnsi="Arial"/>
          <w:sz w:val="16"/>
          <w:szCs w:val="16"/>
          <w:b w:val="1"/>
          <w:bCs w:val="1"/>
          <w:color w:val="auto"/>
        </w:rPr>
        <w:t>Dr. Neergaards Vej 5f</w:t>
      </w:r>
    </w:p>
    <w:p>
      <w:pPr>
        <w:spacing w:after="0" w:line="26" w:lineRule="exact"/>
        <w:rPr>
          <w:sz w:val="24"/>
          <w:szCs w:val="24"/>
          <w:color w:val="auto"/>
        </w:rPr>
      </w:pPr>
    </w:p>
    <w:p>
      <w:pPr>
        <w:jc w:val="center"/>
        <w:ind w:right="19"/>
        <w:spacing w:after="0"/>
        <w:rPr>
          <w:sz w:val="20"/>
          <w:szCs w:val="20"/>
          <w:color w:val="auto"/>
        </w:rPr>
      </w:pPr>
      <w:r>
        <w:rPr>
          <w:rFonts w:ascii="Arial" w:cs="Arial" w:eastAsia="Arial" w:hAnsi="Arial"/>
          <w:sz w:val="16"/>
          <w:szCs w:val="16"/>
          <w:b w:val="1"/>
          <w:bCs w:val="1"/>
          <w:color w:val="auto"/>
        </w:rPr>
        <w:t>DK-2970 Hoersholm</w:t>
      </w:r>
    </w:p>
    <w:p>
      <w:pPr>
        <w:spacing w:after="0" w:line="19" w:lineRule="exact"/>
        <w:rPr>
          <w:sz w:val="24"/>
          <w:szCs w:val="24"/>
          <w:color w:val="auto"/>
        </w:rPr>
      </w:pPr>
    </w:p>
    <w:p>
      <w:pPr>
        <w:jc w:val="center"/>
        <w:ind w:right="19"/>
        <w:spacing w:after="0"/>
        <w:rPr>
          <w:sz w:val="20"/>
          <w:szCs w:val="20"/>
          <w:color w:val="auto"/>
        </w:rPr>
      </w:pPr>
      <w:r>
        <w:rPr>
          <w:rFonts w:ascii="Arial" w:cs="Arial" w:eastAsia="Arial" w:hAnsi="Arial"/>
          <w:sz w:val="16"/>
          <w:szCs w:val="16"/>
          <w:b w:val="1"/>
          <w:bCs w:val="1"/>
          <w:color w:val="auto"/>
        </w:rPr>
        <w:t>Denmark</w:t>
      </w:r>
    </w:p>
    <w:p>
      <w:pPr>
        <w:spacing w:after="0" w:line="19" w:lineRule="exact"/>
        <w:rPr>
          <w:sz w:val="24"/>
          <w:szCs w:val="24"/>
          <w:color w:val="auto"/>
        </w:rPr>
      </w:pPr>
    </w:p>
    <w:p>
      <w:pPr>
        <w:jc w:val="center"/>
        <w:ind w:right="19"/>
        <w:spacing w:after="0"/>
        <w:rPr>
          <w:sz w:val="20"/>
          <w:szCs w:val="20"/>
          <w:color w:val="auto"/>
        </w:rPr>
      </w:pPr>
      <w:r>
        <w:rPr>
          <w:rFonts w:ascii="Arial" w:cs="Arial" w:eastAsia="Arial" w:hAnsi="Arial"/>
          <w:sz w:val="13"/>
          <w:szCs w:val="13"/>
          <w:b w:val="1"/>
          <w:bCs w:val="1"/>
          <w:color w:val="auto"/>
        </w:rPr>
        <w:t>(Address of principal executive offices)</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2157095</wp:posOffset>
            </wp:positionH>
            <wp:positionV relativeFrom="paragraph">
              <wp:posOffset>208915</wp:posOffset>
            </wp:positionV>
            <wp:extent cx="1405890" cy="1714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1405890" cy="17145"/>
                    </a:xfrm>
                    <a:prstGeom prst="rect">
                      <a:avLst/>
                    </a:prstGeom>
                    <a:noFill/>
                  </pic:spPr>
                </pic:pic>
              </a:graphicData>
            </a:graphic>
          </wp:anchor>
        </w:drawing>
      </w:r>
    </w:p>
    <w:p>
      <w:pPr>
        <w:spacing w:after="0" w:line="200" w:lineRule="exact"/>
        <w:rPr>
          <w:sz w:val="24"/>
          <w:szCs w:val="24"/>
          <w:color w:val="auto"/>
        </w:rPr>
      </w:pPr>
    </w:p>
    <w:p>
      <w:pPr>
        <w:spacing w:after="0" w:line="200" w:lineRule="exact"/>
        <w:rPr>
          <w:sz w:val="24"/>
          <w:szCs w:val="24"/>
          <w:color w:val="auto"/>
        </w:rPr>
      </w:pPr>
    </w:p>
    <w:p>
      <w:pPr>
        <w:spacing w:after="0" w:line="246" w:lineRule="exact"/>
        <w:rPr>
          <w:sz w:val="24"/>
          <w:szCs w:val="24"/>
          <w:color w:val="auto"/>
        </w:rPr>
      </w:pPr>
    </w:p>
    <w:p>
      <w:pPr>
        <w:ind w:left="60"/>
        <w:spacing w:after="0"/>
        <w:rPr>
          <w:sz w:val="20"/>
          <w:szCs w:val="20"/>
          <w:color w:val="auto"/>
        </w:rPr>
      </w:pPr>
      <w:r>
        <w:rPr>
          <w:rFonts w:ascii="Arial" w:cs="Arial" w:eastAsia="Arial" w:hAnsi="Arial"/>
          <w:sz w:val="16"/>
          <w:szCs w:val="16"/>
          <w:color w:val="auto"/>
        </w:rPr>
        <w:t>Indicate by check mark whether the registrant files or will file annual reports under cover of Form 20-F or Form 40-F.</w:t>
      </w:r>
    </w:p>
    <w:p>
      <w:pPr>
        <w:spacing w:after="0" w:line="215" w:lineRule="exact"/>
        <w:rPr>
          <w:sz w:val="24"/>
          <w:szCs w:val="24"/>
          <w:color w:val="auto"/>
        </w:rPr>
      </w:pPr>
    </w:p>
    <w:p>
      <w:pPr>
        <w:ind w:left="3760"/>
        <w:spacing w:after="0" w:line="207" w:lineRule="exact"/>
        <w:tabs>
          <w:tab w:leader="none" w:pos="5200" w:val="left"/>
        </w:tabs>
        <w:rPr>
          <w:sz w:val="20"/>
          <w:szCs w:val="20"/>
          <w:color w:val="auto"/>
        </w:rPr>
      </w:pPr>
      <w:r>
        <w:rPr>
          <w:rFonts w:ascii="Arial" w:cs="Arial" w:eastAsia="Arial" w:hAnsi="Arial"/>
          <w:sz w:val="18"/>
          <w:szCs w:val="18"/>
          <w:color w:val="auto"/>
        </w:rPr>
        <w:t xml:space="preserve">Form 20-F </w:t>
      </w:r>
      <w:r>
        <w:rPr>
          <w:rFonts w:ascii="MS PGothic" w:cs="MS PGothic" w:eastAsia="MS PGothic" w:hAnsi="MS PGothic"/>
          <w:sz w:val="18"/>
          <w:szCs w:val="18"/>
          <w:color w:val="auto"/>
        </w:rPr>
        <w:t>☒</w:t>
      </w:r>
      <w:r>
        <w:rPr>
          <w:sz w:val="20"/>
          <w:szCs w:val="20"/>
          <w:color w:val="auto"/>
        </w:rPr>
        <w:tab/>
      </w:r>
      <w:r>
        <w:rPr>
          <w:rFonts w:ascii="Arial" w:cs="Arial" w:eastAsia="Arial" w:hAnsi="Arial"/>
          <w:sz w:val="16"/>
          <w:szCs w:val="16"/>
          <w:color w:val="auto"/>
        </w:rPr>
        <w:t xml:space="preserve">Form 40-F </w:t>
      </w:r>
      <w:r>
        <w:rPr>
          <w:rFonts w:ascii="MS PGothic" w:cs="MS PGothic" w:eastAsia="MS PGothic" w:hAnsi="MS PGothic"/>
          <w:sz w:val="16"/>
          <w:szCs w:val="16"/>
          <w:color w:val="auto"/>
        </w:rPr>
        <w:t>☐</w:t>
      </w:r>
    </w:p>
    <w:p>
      <w:pPr>
        <w:spacing w:after="0" w:line="177" w:lineRule="exact"/>
        <w:rPr>
          <w:sz w:val="24"/>
          <w:szCs w:val="24"/>
          <w:color w:val="auto"/>
        </w:rPr>
      </w:pPr>
    </w:p>
    <w:p>
      <w:pPr>
        <w:ind w:left="60"/>
        <w:spacing w:after="0"/>
        <w:rPr>
          <w:sz w:val="20"/>
          <w:szCs w:val="20"/>
          <w:color w:val="auto"/>
        </w:rPr>
      </w:pPr>
      <w:r>
        <w:rPr>
          <w:rFonts w:ascii="Arial" w:cs="Arial" w:eastAsia="Arial" w:hAnsi="Arial"/>
          <w:sz w:val="16"/>
          <w:szCs w:val="16"/>
          <w:color w:val="auto"/>
        </w:rPr>
        <w:t>Indicate by check mark if the registrant is submitting the Form 6-K in paper as permitted by Regulation S-T Rule 101(b)</w:t>
      </w:r>
    </w:p>
    <w:p>
      <w:pPr>
        <w:spacing w:after="0" w:line="41" w:lineRule="exact"/>
        <w:rPr>
          <w:sz w:val="24"/>
          <w:szCs w:val="24"/>
          <w:color w:val="auto"/>
        </w:rPr>
      </w:pPr>
    </w:p>
    <w:p>
      <w:pPr>
        <w:ind w:left="60"/>
        <w:spacing w:after="0" w:line="207" w:lineRule="exact"/>
        <w:rPr>
          <w:sz w:val="20"/>
          <w:szCs w:val="20"/>
          <w:color w:val="auto"/>
        </w:rPr>
      </w:pPr>
      <w:r>
        <w:rPr>
          <w:rFonts w:ascii="Arial" w:cs="Arial" w:eastAsia="Arial" w:hAnsi="Arial"/>
          <w:sz w:val="18"/>
          <w:szCs w:val="18"/>
          <w:color w:val="auto"/>
        </w:rPr>
        <w:t xml:space="preserve">(1): </w:t>
      </w:r>
      <w:r>
        <w:rPr>
          <w:rFonts w:ascii="MS PGothic" w:cs="MS PGothic" w:eastAsia="MS PGothic" w:hAnsi="MS PGothic"/>
          <w:sz w:val="18"/>
          <w:szCs w:val="18"/>
          <w:color w:val="auto"/>
        </w:rPr>
        <w:t>☐</w:t>
      </w:r>
    </w:p>
    <w:p>
      <w:pPr>
        <w:spacing w:after="0" w:line="148" w:lineRule="exact"/>
        <w:rPr>
          <w:sz w:val="24"/>
          <w:szCs w:val="24"/>
          <w:color w:val="auto"/>
        </w:rPr>
      </w:pPr>
    </w:p>
    <w:p>
      <w:pPr>
        <w:ind w:left="60"/>
        <w:spacing w:after="0"/>
        <w:rPr>
          <w:sz w:val="20"/>
          <w:szCs w:val="20"/>
          <w:color w:val="auto"/>
        </w:rPr>
      </w:pPr>
      <w:r>
        <w:rPr>
          <w:rFonts w:ascii="Arial" w:cs="Arial" w:eastAsia="Arial" w:hAnsi="Arial"/>
          <w:sz w:val="16"/>
          <w:szCs w:val="16"/>
          <w:color w:val="auto"/>
        </w:rPr>
        <w:t>Indicate by check mark if the registrant is submitting the Form 6-K in paper as permitted by Regulation S-T Rule 101(b)</w:t>
      </w:r>
    </w:p>
    <w:p>
      <w:pPr>
        <w:spacing w:after="0" w:line="41" w:lineRule="exact"/>
        <w:rPr>
          <w:sz w:val="24"/>
          <w:szCs w:val="24"/>
          <w:color w:val="auto"/>
        </w:rPr>
      </w:pPr>
    </w:p>
    <w:p>
      <w:pPr>
        <w:ind w:left="60"/>
        <w:spacing w:after="0" w:line="207" w:lineRule="exact"/>
        <w:rPr>
          <w:sz w:val="20"/>
          <w:szCs w:val="20"/>
          <w:color w:val="auto"/>
        </w:rPr>
      </w:pPr>
      <w:r>
        <w:rPr>
          <w:rFonts w:ascii="Arial" w:cs="Arial" w:eastAsia="Arial" w:hAnsi="Arial"/>
          <w:sz w:val="18"/>
          <w:szCs w:val="18"/>
          <w:color w:val="auto"/>
        </w:rPr>
        <w:t xml:space="preserve">(7): </w:t>
      </w:r>
      <w:r>
        <w:rPr>
          <w:rFonts w:ascii="MS PGothic" w:cs="MS PGothic" w:eastAsia="MS PGothic" w:hAnsi="MS PGothic"/>
          <w:sz w:val="18"/>
          <w:szCs w:val="18"/>
          <w:color w:val="auto"/>
        </w:rPr>
        <w:t>☐</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31115</wp:posOffset>
            </wp:positionH>
            <wp:positionV relativeFrom="paragraph">
              <wp:posOffset>566420</wp:posOffset>
            </wp:positionV>
            <wp:extent cx="5657850" cy="25400"/>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5657850" cy="25400"/>
                    </a:xfrm>
                    <a:prstGeom prst="rect">
                      <a:avLst/>
                    </a:prstGeom>
                    <a:noFill/>
                  </pic:spPr>
                </pic:pic>
              </a:graphicData>
            </a:graphic>
          </wp:anchor>
        </w:drawing>
        <w:drawing>
          <wp:anchor simplePos="0" relativeHeight="251657728" behindDoc="1" locked="0" layoutInCell="0" allowOverlap="1">
            <wp:simplePos x="0" y="0"/>
            <wp:positionH relativeFrom="column">
              <wp:posOffset>31115</wp:posOffset>
            </wp:positionH>
            <wp:positionV relativeFrom="paragraph">
              <wp:posOffset>163195</wp:posOffset>
            </wp:positionV>
            <wp:extent cx="5657850" cy="8890"/>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5657850" cy="8890"/>
                    </a:xfrm>
                    <a:prstGeom prst="rect">
                      <a:avLst/>
                    </a:prstGeom>
                    <a:noFill/>
                  </pic:spPr>
                </pic:pic>
              </a:graphicData>
            </a:graphic>
          </wp:anchor>
        </w:drawing>
        <w:drawing>
          <wp:anchor simplePos="0" relativeHeight="251657728" behindDoc="1" locked="0" layoutInCell="0" allowOverlap="1">
            <wp:simplePos x="0" y="0"/>
            <wp:positionH relativeFrom="column">
              <wp:posOffset>31115</wp:posOffset>
            </wp:positionH>
            <wp:positionV relativeFrom="paragraph">
              <wp:posOffset>189230</wp:posOffset>
            </wp:positionV>
            <wp:extent cx="5657850" cy="34290"/>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5657850" cy="34290"/>
                    </a:xfrm>
                    <a:prstGeom prst="rect">
                      <a:avLst/>
                    </a:prstGeom>
                    <a:noFill/>
                  </pic:spPr>
                </pic:pic>
              </a:graphicData>
            </a:graphic>
          </wp:anchor>
        </w:drawing>
      </w:r>
    </w:p>
    <w:p>
      <w:pPr>
        <w:sectPr>
          <w:pgSz w:w="11900" w:h="16838" w:orient="portrait"/>
          <w:cols w:equalWidth="0" w:num="1">
            <w:col w:w="9019"/>
          </w:cols>
          <w:pgMar w:left="1440" w:top="985" w:right="1440" w:bottom="1440" w:gutter="0" w:footer="0" w:header="0"/>
        </w:sectPr>
      </w:pPr>
    </w:p>
    <w:bookmarkStart w:id="1" w:name="page2"/>
    <w:bookmarkEnd w:id="1"/>
    <w:p>
      <w:pPr>
        <w:ind w:left="60" w:right="359"/>
        <w:spacing w:after="0" w:line="308" w:lineRule="auto"/>
        <w:rPr>
          <w:sz w:val="20"/>
          <w:szCs w:val="20"/>
          <w:color w:val="auto"/>
        </w:rPr>
      </w:pPr>
      <w:r>
        <w:rPr>
          <w:rFonts w:ascii="Arial" w:cs="Arial" w:eastAsia="Arial" w:hAnsi="Arial"/>
          <w:sz w:val="17"/>
          <w:szCs w:val="17"/>
          <w:color w:val="auto"/>
        </w:rPr>
        <w:t>Furnished as Exhibit 99.1 to this Report on Form 6-K is a press release of Evaxion Biotech A/S (the “Company”) dated May 13, 2021, announcing the Company’s financial results for the three months ended March 31, 2021.</w:t>
      </w:r>
    </w:p>
    <w:p>
      <w:pPr>
        <w:spacing w:after="0" w:line="142" w:lineRule="exact"/>
        <w:rPr>
          <w:sz w:val="20"/>
          <w:szCs w:val="20"/>
          <w:color w:val="auto"/>
        </w:rPr>
      </w:pPr>
    </w:p>
    <w:p>
      <w:pPr>
        <w:ind w:left="60"/>
        <w:spacing w:after="0"/>
        <w:rPr>
          <w:sz w:val="20"/>
          <w:szCs w:val="20"/>
          <w:color w:val="auto"/>
        </w:rPr>
      </w:pPr>
      <w:r>
        <w:rPr>
          <w:rFonts w:ascii="Arial" w:cs="Arial" w:eastAsia="Arial" w:hAnsi="Arial"/>
          <w:sz w:val="18"/>
          <w:szCs w:val="18"/>
          <w:b w:val="1"/>
          <w:bCs w:val="1"/>
          <w:color w:val="auto"/>
        </w:rPr>
        <w:t>Exhibits</w:t>
      </w:r>
    </w:p>
    <w:p>
      <w:pPr>
        <w:spacing w:after="0" w:line="243" w:lineRule="exact"/>
        <w:rPr>
          <w:sz w:val="20"/>
          <w:szCs w:val="20"/>
          <w:color w:val="auto"/>
        </w:rPr>
      </w:pPr>
    </w:p>
    <w:p>
      <w:pPr>
        <w:ind w:left="160"/>
        <w:spacing w:after="0"/>
        <w:rPr>
          <w:sz w:val="20"/>
          <w:szCs w:val="20"/>
          <w:color w:val="auto"/>
        </w:rPr>
      </w:pPr>
      <w:r>
        <w:rPr>
          <w:rFonts w:ascii="Arial" w:cs="Arial" w:eastAsia="Arial" w:hAnsi="Arial"/>
          <w:sz w:val="18"/>
          <w:szCs w:val="18"/>
          <w:color w:val="auto"/>
        </w:rPr>
        <w:t>Exhibit</w:t>
      </w:r>
    </w:p>
    <w:p>
      <w:pPr>
        <w:spacing w:after="0" w:line="23" w:lineRule="exact"/>
        <w:rPr>
          <w:sz w:val="20"/>
          <w:szCs w:val="20"/>
          <w:color w:val="auto"/>
        </w:rPr>
      </w:pPr>
    </w:p>
    <w:p>
      <w:pPr>
        <w:ind w:left="280"/>
        <w:spacing w:after="0"/>
        <w:tabs>
          <w:tab w:leader="none" w:pos="1000" w:val="left"/>
        </w:tabs>
        <w:rPr>
          <w:sz w:val="20"/>
          <w:szCs w:val="20"/>
          <w:color w:val="auto"/>
        </w:rPr>
      </w:pPr>
      <w:r>
        <w:rPr>
          <w:rFonts w:ascii="Arial" w:cs="Arial" w:eastAsia="Arial" w:hAnsi="Arial"/>
          <w:sz w:val="18"/>
          <w:szCs w:val="18"/>
          <w:color w:val="auto"/>
        </w:rPr>
        <w:t>No.</w:t>
      </w:r>
      <w:r>
        <w:rPr>
          <w:sz w:val="20"/>
          <w:szCs w:val="20"/>
          <w:color w:val="auto"/>
        </w:rPr>
        <w:tab/>
      </w:r>
      <w:r>
        <w:rPr>
          <w:rFonts w:ascii="Arial" w:cs="Arial" w:eastAsia="Arial" w:hAnsi="Arial"/>
          <w:sz w:val="18"/>
          <w:szCs w:val="18"/>
          <w:color w:val="auto"/>
        </w:rPr>
        <w:t>Description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5715</wp:posOffset>
            </wp:positionV>
            <wp:extent cx="5648960" cy="8255"/>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5648960" cy="8255"/>
                    </a:xfrm>
                    <a:prstGeom prst="rect">
                      <a:avLst/>
                    </a:prstGeom>
                    <a:noFill/>
                  </pic:spPr>
                </pic:pic>
              </a:graphicData>
            </a:graphic>
          </wp:anchor>
        </w:drawing>
      </w:r>
    </w:p>
    <w:p>
      <w:pPr>
        <w:spacing w:after="0" w:line="222" w:lineRule="exact"/>
        <w:rPr>
          <w:sz w:val="20"/>
          <w:szCs w:val="20"/>
          <w:color w:val="auto"/>
        </w:rPr>
      </w:pPr>
    </w:p>
    <w:p>
      <w:pPr>
        <w:ind w:left="280"/>
        <w:spacing w:after="0"/>
        <w:tabs>
          <w:tab w:leader="none" w:pos="1000" w:val="left"/>
        </w:tabs>
        <w:rPr>
          <w:rFonts w:ascii="Arial" w:cs="Arial" w:eastAsia="Arial" w:hAnsi="Arial"/>
          <w:sz w:val="14"/>
          <w:szCs w:val="14"/>
          <w:u w:val="single" w:color="auto"/>
          <w:color w:val="0000EE"/>
        </w:rPr>
      </w:pPr>
      <w:r>
        <w:rPr>
          <w:rFonts w:ascii="Arial" w:cs="Arial" w:eastAsia="Arial" w:hAnsi="Arial"/>
          <w:sz w:val="16"/>
          <w:szCs w:val="16"/>
          <w:color w:val="auto"/>
        </w:rPr>
        <w:t>99.1</w:t>
      </w:r>
      <w:r>
        <w:rPr>
          <w:sz w:val="20"/>
          <w:szCs w:val="20"/>
          <w:color w:val="auto"/>
        </w:rPr>
        <w:tab/>
      </w:r>
      <w:hyperlink w:anchor="page4">
        <w:r>
          <w:rPr>
            <w:rFonts w:ascii="Arial" w:cs="Arial" w:eastAsia="Arial" w:hAnsi="Arial"/>
            <w:sz w:val="14"/>
            <w:szCs w:val="14"/>
            <w:u w:val="single" w:color="auto"/>
            <w:color w:val="0000EE"/>
          </w:rPr>
          <w:t>Press Release dated May 13, 2021.</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643890</wp:posOffset>
            </wp:positionV>
            <wp:extent cx="5657850" cy="26035"/>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5657850" cy="26035"/>
                    </a:xfrm>
                    <a:prstGeom prst="rect">
                      <a:avLst/>
                    </a:prstGeom>
                    <a:noFill/>
                  </pic:spPr>
                </pic:pic>
              </a:graphicData>
            </a:graphic>
          </wp:anchor>
        </w:drawing>
      </w:r>
    </w:p>
    <w:p>
      <w:pPr>
        <w:sectPr>
          <w:pgSz w:w="11900" w:h="16838" w:orient="portrait"/>
          <w:cols w:equalWidth="0" w:num="1">
            <w:col w:w="9019"/>
          </w:cols>
          <w:pgMar w:left="1440" w:top="125" w:right="1440" w:bottom="1440" w:gutter="0" w:footer="0" w:header="0"/>
        </w:sectPr>
      </w:pPr>
    </w:p>
    <w:bookmarkStart w:id="2" w:name="page3"/>
    <w:bookmarkEnd w:id="2"/>
    <w:p>
      <w:pPr>
        <w:jc w:val="center"/>
        <w:ind w:right="19"/>
        <w:spacing w:after="0"/>
        <w:rPr>
          <w:sz w:val="20"/>
          <w:szCs w:val="20"/>
          <w:color w:val="auto"/>
        </w:rPr>
      </w:pPr>
      <w:r>
        <w:rPr>
          <w:rFonts w:ascii="Arial" w:cs="Arial" w:eastAsia="Arial" w:hAnsi="Arial"/>
          <w:sz w:val="18"/>
          <w:szCs w:val="18"/>
          <w:b w:val="1"/>
          <w:bCs w:val="1"/>
          <w:color w:val="auto"/>
        </w:rPr>
        <w:t>SIGNATURES</w:t>
      </w:r>
    </w:p>
    <w:p>
      <w:pPr>
        <w:spacing w:after="0" w:line="229" w:lineRule="exact"/>
        <w:rPr>
          <w:sz w:val="20"/>
          <w:szCs w:val="20"/>
          <w:color w:val="auto"/>
        </w:rPr>
      </w:pPr>
    </w:p>
    <w:p>
      <w:pPr>
        <w:ind w:left="60" w:right="99"/>
        <w:spacing w:after="0" w:line="277" w:lineRule="auto"/>
        <w:rPr>
          <w:sz w:val="20"/>
          <w:szCs w:val="20"/>
          <w:color w:val="auto"/>
        </w:rPr>
      </w:pPr>
      <w:r>
        <w:rPr>
          <w:rFonts w:ascii="Arial" w:cs="Arial" w:eastAsia="Arial" w:hAnsi="Arial"/>
          <w:sz w:val="18"/>
          <w:szCs w:val="18"/>
          <w:color w:val="auto"/>
        </w:rPr>
        <w:t>Pursuant to the requirements of the Securities Exchange Act of 1934, as amended, the registrant has duly caused this report to be signed on its behalf by the undersigned hereunto duly authorized.</w:t>
      </w:r>
    </w:p>
    <w:p>
      <w:pPr>
        <w:spacing w:after="0" w:line="166" w:lineRule="exact"/>
        <w:rPr>
          <w:sz w:val="20"/>
          <w:szCs w:val="20"/>
          <w:color w:val="auto"/>
        </w:rPr>
      </w:pPr>
    </w:p>
    <w:tbl>
      <w:tblPr>
        <w:tblLayout w:type="fixed"/>
        <w:tblInd w:w="40" w:type="dxa"/>
        <w:tblCellMar>
          <w:top w:w="0" w:type="dxa"/>
          <w:left w:w="0" w:type="dxa"/>
          <w:bottom w:w="0" w:type="dxa"/>
          <w:right w:w="0" w:type="dxa"/>
        </w:tblCellMar>
      </w:tblPr>
      <w:tr>
        <w:trPr>
          <w:trHeight w:val="234"/>
        </w:trPr>
        <w:tc>
          <w:tcPr>
            <w:tcW w:w="2960" w:type="dxa"/>
            <w:vAlign w:val="bottom"/>
          </w:tcPr>
          <w:p>
            <w:pPr>
              <w:spacing w:after="0"/>
              <w:rPr>
                <w:sz w:val="20"/>
                <w:szCs w:val="20"/>
                <w:color w:val="auto"/>
              </w:rPr>
            </w:pPr>
          </w:p>
        </w:tc>
        <w:tc>
          <w:tcPr>
            <w:tcW w:w="5960" w:type="dxa"/>
            <w:vAlign w:val="bottom"/>
            <w:gridSpan w:val="3"/>
          </w:tcPr>
          <w:p>
            <w:pPr>
              <w:ind w:left="1520"/>
              <w:spacing w:after="0"/>
              <w:rPr>
                <w:sz w:val="20"/>
                <w:szCs w:val="20"/>
                <w:color w:val="auto"/>
              </w:rPr>
            </w:pPr>
            <w:r>
              <w:rPr>
                <w:rFonts w:ascii="Arial" w:cs="Arial" w:eastAsia="Arial" w:hAnsi="Arial"/>
                <w:sz w:val="18"/>
                <w:szCs w:val="18"/>
                <w:b w:val="1"/>
                <w:bCs w:val="1"/>
                <w:color w:val="auto"/>
              </w:rPr>
              <w:t>Evaxion Biotech A/S</w:t>
            </w:r>
          </w:p>
        </w:tc>
      </w:tr>
      <w:tr>
        <w:trPr>
          <w:trHeight w:val="432"/>
        </w:trPr>
        <w:tc>
          <w:tcPr>
            <w:tcW w:w="2960" w:type="dxa"/>
            <w:vAlign w:val="bottom"/>
          </w:tcPr>
          <w:p>
            <w:pPr>
              <w:ind w:left="20"/>
              <w:spacing w:after="0"/>
              <w:rPr>
                <w:sz w:val="20"/>
                <w:szCs w:val="20"/>
                <w:color w:val="auto"/>
              </w:rPr>
            </w:pPr>
            <w:r>
              <w:rPr>
                <w:rFonts w:ascii="Arial" w:cs="Arial" w:eastAsia="Arial" w:hAnsi="Arial"/>
                <w:sz w:val="18"/>
                <w:szCs w:val="18"/>
                <w:color w:val="auto"/>
              </w:rPr>
              <w:t>Date: May 13, 2021</w:t>
            </w:r>
          </w:p>
        </w:tc>
        <w:tc>
          <w:tcPr>
            <w:tcW w:w="5960" w:type="dxa"/>
            <w:vAlign w:val="bottom"/>
            <w:gridSpan w:val="3"/>
          </w:tcPr>
          <w:p>
            <w:pPr>
              <w:ind w:left="1520"/>
              <w:spacing w:after="0"/>
              <w:rPr>
                <w:sz w:val="20"/>
                <w:szCs w:val="20"/>
                <w:color w:val="auto"/>
              </w:rPr>
            </w:pPr>
            <w:r>
              <w:rPr>
                <w:rFonts w:ascii="Arial" w:cs="Arial" w:eastAsia="Arial" w:hAnsi="Arial"/>
                <w:sz w:val="18"/>
                <w:szCs w:val="18"/>
                <w:color w:val="auto"/>
              </w:rPr>
              <w:t>By:  /s/ Glenn S. Vraniak</w:t>
            </w:r>
          </w:p>
        </w:tc>
      </w:tr>
      <w:tr>
        <w:trPr>
          <w:trHeight w:val="195"/>
        </w:trPr>
        <w:tc>
          <w:tcPr>
            <w:tcW w:w="2960" w:type="dxa"/>
            <w:vAlign w:val="bottom"/>
          </w:tcPr>
          <w:p>
            <w:pPr>
              <w:spacing w:after="0"/>
              <w:rPr>
                <w:sz w:val="16"/>
                <w:szCs w:val="16"/>
                <w:color w:val="auto"/>
              </w:rPr>
            </w:pPr>
          </w:p>
        </w:tc>
        <w:tc>
          <w:tcPr>
            <w:tcW w:w="1920" w:type="dxa"/>
            <w:vAlign w:val="bottom"/>
          </w:tcPr>
          <w:p>
            <w:pPr>
              <w:spacing w:after="0"/>
              <w:rPr>
                <w:sz w:val="16"/>
                <w:szCs w:val="16"/>
                <w:color w:val="auto"/>
              </w:rPr>
            </w:pPr>
          </w:p>
        </w:tc>
        <w:tc>
          <w:tcPr>
            <w:tcW w:w="4020" w:type="dxa"/>
            <w:vAlign w:val="bottom"/>
            <w:tcBorders>
              <w:top w:val="single" w:sz="8" w:color="auto"/>
            </w:tcBorders>
          </w:tcPr>
          <w:p>
            <w:pPr>
              <w:spacing w:after="0" w:line="195" w:lineRule="exact"/>
              <w:rPr>
                <w:sz w:val="20"/>
                <w:szCs w:val="20"/>
                <w:color w:val="auto"/>
              </w:rPr>
            </w:pPr>
            <w:r>
              <w:rPr>
                <w:rFonts w:ascii="Arial" w:cs="Arial" w:eastAsia="Arial" w:hAnsi="Arial"/>
                <w:sz w:val="18"/>
                <w:szCs w:val="18"/>
                <w:color w:val="auto"/>
              </w:rPr>
              <w:t>Glenn S. Vraniak</w:t>
            </w:r>
          </w:p>
        </w:tc>
        <w:tc>
          <w:tcPr>
            <w:tcW w:w="20" w:type="dxa"/>
            <w:vAlign w:val="bottom"/>
          </w:tcPr>
          <w:p>
            <w:pPr>
              <w:spacing w:after="0"/>
              <w:rPr>
                <w:sz w:val="16"/>
                <w:szCs w:val="16"/>
                <w:color w:val="auto"/>
              </w:rPr>
            </w:pPr>
          </w:p>
        </w:tc>
      </w:tr>
      <w:tr>
        <w:trPr>
          <w:trHeight w:val="230"/>
        </w:trPr>
        <w:tc>
          <w:tcPr>
            <w:tcW w:w="2960" w:type="dxa"/>
            <w:vAlign w:val="bottom"/>
          </w:tcPr>
          <w:p>
            <w:pPr>
              <w:spacing w:after="0"/>
              <w:rPr>
                <w:sz w:val="20"/>
                <w:szCs w:val="20"/>
                <w:color w:val="auto"/>
              </w:rPr>
            </w:pPr>
          </w:p>
        </w:tc>
        <w:tc>
          <w:tcPr>
            <w:tcW w:w="1920" w:type="dxa"/>
            <w:vAlign w:val="bottom"/>
          </w:tcPr>
          <w:p>
            <w:pPr>
              <w:spacing w:after="0"/>
              <w:rPr>
                <w:sz w:val="20"/>
                <w:szCs w:val="20"/>
                <w:color w:val="auto"/>
              </w:rPr>
            </w:pPr>
          </w:p>
        </w:tc>
        <w:tc>
          <w:tcPr>
            <w:tcW w:w="4040" w:type="dxa"/>
            <w:vAlign w:val="bottom"/>
            <w:gridSpan w:val="2"/>
          </w:tcPr>
          <w:p>
            <w:pPr>
              <w:spacing w:after="0"/>
              <w:rPr>
                <w:sz w:val="20"/>
                <w:szCs w:val="20"/>
                <w:color w:val="auto"/>
              </w:rPr>
            </w:pPr>
            <w:r>
              <w:rPr>
                <w:rFonts w:ascii="Arial" w:cs="Arial" w:eastAsia="Arial" w:hAnsi="Arial"/>
                <w:sz w:val="18"/>
                <w:szCs w:val="18"/>
                <w:color w:val="auto"/>
              </w:rPr>
              <w:t>Chief Financial Officer</w:t>
            </w:r>
          </w:p>
        </w:tc>
      </w:tr>
      <w:tr>
        <w:trPr>
          <w:trHeight w:val="992"/>
        </w:trPr>
        <w:tc>
          <w:tcPr>
            <w:tcW w:w="2960" w:type="dxa"/>
            <w:vAlign w:val="bottom"/>
            <w:tcBorders>
              <w:bottom w:val="single" w:sz="8" w:color="auto"/>
            </w:tcBorders>
          </w:tcPr>
          <w:p>
            <w:pPr>
              <w:spacing w:after="0"/>
              <w:rPr>
                <w:sz w:val="24"/>
                <w:szCs w:val="24"/>
                <w:color w:val="auto"/>
              </w:rPr>
            </w:pPr>
          </w:p>
        </w:tc>
        <w:tc>
          <w:tcPr>
            <w:tcW w:w="1920" w:type="dxa"/>
            <w:vAlign w:val="bottom"/>
            <w:tcBorders>
              <w:bottom w:val="single" w:sz="8" w:color="auto"/>
            </w:tcBorders>
          </w:tcPr>
          <w:p>
            <w:pPr>
              <w:spacing w:after="0"/>
              <w:rPr>
                <w:sz w:val="24"/>
                <w:szCs w:val="24"/>
                <w:color w:val="auto"/>
              </w:rPr>
            </w:pPr>
          </w:p>
        </w:tc>
        <w:tc>
          <w:tcPr>
            <w:tcW w:w="4020" w:type="dxa"/>
            <w:vAlign w:val="bottom"/>
            <w:tcBorders>
              <w:bottom w:val="single" w:sz="8" w:color="auto"/>
            </w:tcBorders>
          </w:tcPr>
          <w:p>
            <w:pPr>
              <w:spacing w:after="0"/>
              <w:rPr>
                <w:sz w:val="24"/>
                <w:szCs w:val="24"/>
                <w:color w:val="auto"/>
              </w:rPr>
            </w:pPr>
          </w:p>
        </w:tc>
        <w:tc>
          <w:tcPr>
            <w:tcW w:w="20" w:type="dxa"/>
            <w:vAlign w:val="bottom"/>
            <w:tcBorders>
              <w:bottom w:val="single" w:sz="8" w:color="auto"/>
            </w:tcBorders>
          </w:tcPr>
          <w:p>
            <w:pPr>
              <w:spacing w:after="0"/>
              <w:rPr>
                <w:sz w:val="24"/>
                <w:szCs w:val="24"/>
                <w:color w:val="auto"/>
              </w:rPr>
            </w:pPr>
          </w:p>
        </w:tc>
      </w:tr>
    </w:tbl>
    <w:p>
      <w:pPr>
        <w:sectPr>
          <w:pgSz w:w="11900" w:h="16838" w:orient="portrait"/>
          <w:cols w:equalWidth="0" w:num="1">
            <w:col w:w="9019"/>
          </w:cols>
          <w:pgMar w:left="1440" w:top="121" w:right="1440" w:bottom="1440" w:gutter="0" w:footer="0" w:header="0"/>
        </w:sectPr>
      </w:pPr>
    </w:p>
    <w:bookmarkStart w:id="3" w:name="page4"/>
    <w:bookmarkEnd w:id="3"/>
    <w:p>
      <w:pPr>
        <w:spacing w:after="0" w:line="18"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4906010</wp:posOffset>
            </wp:positionH>
            <wp:positionV relativeFrom="page">
              <wp:posOffset>88900</wp:posOffset>
            </wp:positionV>
            <wp:extent cx="1697355" cy="720090"/>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clrChange>
                        <a:clrFrom>
                          <a:srgbClr val="FFFFFF"/>
                        </a:clrFrom>
                        <a:clrTo>
                          <a:srgbClr val="FFFFFF">
                            <a:alpha val="0"/>
                          </a:srgbClr>
                        </a:clrTo>
                      </a:clrChange>
                      <a:extLst>
                        <a:ext uri="{28A0092B-C50C-407E-A947-70E740481C1C}"/>
                      </a:extLst>
                    </a:blip>
                    <a:srcRect/>
                    <a:stretch>
                      <a:fillRect/>
                    </a:stretch>
                  </pic:blipFill>
                  <pic:spPr bwMode="auto">
                    <a:xfrm>
                      <a:off x="0" y="0"/>
                      <a:ext cx="1697355" cy="720090"/>
                    </a:xfrm>
                    <a:prstGeom prst="rect">
                      <a:avLst/>
                    </a:prstGeom>
                    <a:noFill/>
                  </pic:spPr>
                </pic:pic>
              </a:graphicData>
            </a:graphic>
          </wp:anchor>
        </w:drawing>
      </w:r>
    </w:p>
    <w:p>
      <w:pPr>
        <w:jc w:val="right"/>
        <w:ind w:right="59"/>
        <w:spacing w:after="0"/>
        <w:rPr>
          <w:sz w:val="20"/>
          <w:szCs w:val="20"/>
          <w:color w:val="auto"/>
        </w:rPr>
      </w:pPr>
      <w:r>
        <w:rPr>
          <w:rFonts w:ascii="Arial" w:cs="Arial" w:eastAsia="Arial" w:hAnsi="Arial"/>
          <w:sz w:val="22"/>
          <w:szCs w:val="22"/>
          <w:b w:val="1"/>
          <w:bCs w:val="1"/>
          <w:color w:val="auto"/>
        </w:rPr>
        <w:t>Exhibit 99.1</w:t>
      </w:r>
    </w:p>
    <w:p>
      <w:pPr>
        <w:spacing w:after="0" w:line="206" w:lineRule="exact"/>
        <w:rPr>
          <w:sz w:val="20"/>
          <w:szCs w:val="20"/>
          <w:color w:val="auto"/>
        </w:rPr>
      </w:pPr>
    </w:p>
    <w:p>
      <w:pPr>
        <w:jc w:val="right"/>
        <w:ind w:right="99"/>
        <w:spacing w:after="0"/>
        <w:rPr>
          <w:sz w:val="20"/>
          <w:szCs w:val="20"/>
          <w:color w:val="auto"/>
        </w:rPr>
      </w:pPr>
      <w:r>
        <w:rPr>
          <w:rFonts w:ascii="Arial" w:cs="Arial" w:eastAsia="Arial" w:hAnsi="Arial"/>
          <w:sz w:val="21"/>
          <w:szCs w:val="21"/>
          <w:b w:val="1"/>
          <w:bCs w:val="1"/>
          <w:color w:val="auto"/>
        </w:rPr>
        <w:t>Evaxion Biotech Announces Q1 2021 Financial Results and Provides Business Update</w:t>
      </w:r>
    </w:p>
    <w:p>
      <w:pPr>
        <w:spacing w:after="0" w:line="246" w:lineRule="exact"/>
        <w:rPr>
          <w:sz w:val="20"/>
          <w:szCs w:val="20"/>
          <w:color w:val="auto"/>
        </w:rPr>
      </w:pPr>
    </w:p>
    <w:p>
      <w:pPr>
        <w:ind w:left="700" w:hanging="326"/>
        <w:spacing w:after="0"/>
        <w:tabs>
          <w:tab w:leader="none" w:pos="700" w:val="left"/>
        </w:tabs>
        <w:numPr>
          <w:ilvl w:val="0"/>
          <w:numId w:val="1"/>
        </w:numPr>
        <w:rPr>
          <w:rFonts w:ascii="Arial" w:cs="Arial" w:eastAsia="Arial" w:hAnsi="Arial"/>
          <w:sz w:val="18"/>
          <w:szCs w:val="18"/>
          <w:color w:val="auto"/>
        </w:rPr>
      </w:pPr>
      <w:r>
        <w:rPr>
          <w:rFonts w:ascii="Arial" w:cs="Arial" w:eastAsia="Arial" w:hAnsi="Arial"/>
          <w:sz w:val="20"/>
          <w:szCs w:val="20"/>
          <w:color w:val="auto"/>
        </w:rPr>
        <w:t>Raised net proceeds of $27.9 million in U.S. initial public offering in February 2021</w:t>
      </w:r>
    </w:p>
    <w:p>
      <w:pPr>
        <w:spacing w:after="0" w:line="40" w:lineRule="exact"/>
        <w:rPr>
          <w:rFonts w:ascii="Arial" w:cs="Arial" w:eastAsia="Arial" w:hAnsi="Arial"/>
          <w:sz w:val="18"/>
          <w:szCs w:val="18"/>
          <w:color w:val="auto"/>
        </w:rPr>
      </w:pPr>
    </w:p>
    <w:p>
      <w:pPr>
        <w:ind w:left="700" w:hanging="326"/>
        <w:spacing w:after="0"/>
        <w:tabs>
          <w:tab w:leader="none" w:pos="700" w:val="left"/>
        </w:tabs>
        <w:numPr>
          <w:ilvl w:val="0"/>
          <w:numId w:val="1"/>
        </w:numPr>
        <w:rPr>
          <w:rFonts w:ascii="Arial" w:cs="Arial" w:eastAsia="Arial" w:hAnsi="Arial"/>
          <w:sz w:val="18"/>
          <w:szCs w:val="18"/>
          <w:color w:val="auto"/>
        </w:rPr>
      </w:pPr>
      <w:r>
        <w:rPr>
          <w:rFonts w:ascii="Arial" w:cs="Arial" w:eastAsia="Arial" w:hAnsi="Arial"/>
          <w:sz w:val="20"/>
          <w:szCs w:val="20"/>
          <w:color w:val="auto"/>
        </w:rPr>
        <w:t>Lead programs EVX-01 and EVX-02 on track for Phase 1/2a data readouts late in Q2</w:t>
      </w:r>
    </w:p>
    <w:p>
      <w:pPr>
        <w:spacing w:after="0" w:line="40" w:lineRule="exact"/>
        <w:rPr>
          <w:rFonts w:ascii="Arial" w:cs="Arial" w:eastAsia="Arial" w:hAnsi="Arial"/>
          <w:sz w:val="18"/>
          <w:szCs w:val="18"/>
          <w:color w:val="auto"/>
        </w:rPr>
      </w:pPr>
    </w:p>
    <w:p>
      <w:pPr>
        <w:ind w:left="700" w:hanging="326"/>
        <w:spacing w:after="0"/>
        <w:tabs>
          <w:tab w:leader="none" w:pos="700" w:val="left"/>
        </w:tabs>
        <w:numPr>
          <w:ilvl w:val="0"/>
          <w:numId w:val="1"/>
        </w:numPr>
        <w:rPr>
          <w:rFonts w:ascii="Arial" w:cs="Arial" w:eastAsia="Arial" w:hAnsi="Arial"/>
          <w:sz w:val="18"/>
          <w:szCs w:val="18"/>
          <w:color w:val="auto"/>
        </w:rPr>
      </w:pPr>
      <w:r>
        <w:rPr>
          <w:rFonts w:ascii="Arial" w:cs="Arial" w:eastAsia="Arial" w:hAnsi="Arial"/>
          <w:sz w:val="20"/>
          <w:szCs w:val="20"/>
          <w:color w:val="auto"/>
        </w:rPr>
        <w:t>Product candidates EVX-03 and EVX-B1 progressing through pre-clinical development</w:t>
      </w:r>
    </w:p>
    <w:p>
      <w:pPr>
        <w:spacing w:after="0" w:line="40" w:lineRule="exact"/>
        <w:rPr>
          <w:rFonts w:ascii="Arial" w:cs="Arial" w:eastAsia="Arial" w:hAnsi="Arial"/>
          <w:sz w:val="18"/>
          <w:szCs w:val="18"/>
          <w:color w:val="auto"/>
        </w:rPr>
      </w:pPr>
    </w:p>
    <w:p>
      <w:pPr>
        <w:ind w:left="700" w:hanging="326"/>
        <w:spacing w:after="0"/>
        <w:tabs>
          <w:tab w:leader="none" w:pos="700" w:val="left"/>
        </w:tabs>
        <w:numPr>
          <w:ilvl w:val="0"/>
          <w:numId w:val="1"/>
        </w:numPr>
        <w:rPr>
          <w:rFonts w:ascii="Arial" w:cs="Arial" w:eastAsia="Arial" w:hAnsi="Arial"/>
          <w:sz w:val="18"/>
          <w:szCs w:val="18"/>
          <w:color w:val="auto"/>
        </w:rPr>
      </w:pPr>
      <w:r>
        <w:rPr>
          <w:rFonts w:ascii="Arial" w:cs="Arial" w:eastAsia="Arial" w:hAnsi="Arial"/>
          <w:sz w:val="20"/>
          <w:szCs w:val="20"/>
          <w:color w:val="auto"/>
        </w:rPr>
        <w:t>Cash reserves of $27 million at March 31, 2021</w:t>
      </w:r>
    </w:p>
    <w:p>
      <w:pPr>
        <w:spacing w:after="0" w:line="70" w:lineRule="exact"/>
        <w:rPr>
          <w:sz w:val="20"/>
          <w:szCs w:val="20"/>
          <w:color w:val="auto"/>
        </w:rPr>
      </w:pPr>
    </w:p>
    <w:p>
      <w:pPr>
        <w:ind w:left="60" w:right="239"/>
        <w:spacing w:after="0" w:line="252" w:lineRule="auto"/>
        <w:rPr>
          <w:sz w:val="20"/>
          <w:szCs w:val="20"/>
          <w:color w:val="auto"/>
        </w:rPr>
      </w:pPr>
      <w:r>
        <w:rPr>
          <w:rFonts w:ascii="Arial" w:cs="Arial" w:eastAsia="Arial" w:hAnsi="Arial"/>
          <w:sz w:val="19"/>
          <w:szCs w:val="19"/>
          <w:b w:val="1"/>
          <w:bCs w:val="1"/>
          <w:color w:val="auto"/>
        </w:rPr>
        <w:t xml:space="preserve">Copenhagen, Denmark, May 13, 2021 </w:t>
      </w:r>
      <w:r>
        <w:rPr>
          <w:rFonts w:ascii="Arial" w:cs="Arial" w:eastAsia="Arial" w:hAnsi="Arial"/>
          <w:sz w:val="19"/>
          <w:szCs w:val="19"/>
          <w:color w:val="auto"/>
        </w:rPr>
        <w:t>– Evaxion Biotech A/S (NASDAQ: EVAX) (“Evaxion” or the</w:t>
      </w:r>
      <w:r>
        <w:rPr>
          <w:rFonts w:ascii="Arial" w:cs="Arial" w:eastAsia="Arial" w:hAnsi="Arial"/>
          <w:sz w:val="19"/>
          <w:szCs w:val="19"/>
          <w:b w:val="1"/>
          <w:bCs w:val="1"/>
          <w:color w:val="auto"/>
        </w:rPr>
        <w:t xml:space="preserve"> </w:t>
      </w:r>
      <w:r>
        <w:rPr>
          <w:rFonts w:ascii="Arial" w:cs="Arial" w:eastAsia="Arial" w:hAnsi="Arial"/>
          <w:sz w:val="19"/>
          <w:szCs w:val="19"/>
          <w:color w:val="auto"/>
        </w:rPr>
        <w:t>“Company”), a clinical-stage biotechnology company specializing in the development of AI-driven immunotherapies to improve the lives of patients with cancer, bacterial diseases and viral infections, announced today the first quarter 2021 financial results and provided an operational update.</w:t>
      </w:r>
    </w:p>
    <w:p>
      <w:pPr>
        <w:spacing w:after="0" w:line="54" w:lineRule="exact"/>
        <w:rPr>
          <w:sz w:val="20"/>
          <w:szCs w:val="20"/>
          <w:color w:val="auto"/>
        </w:rPr>
      </w:pPr>
    </w:p>
    <w:p>
      <w:pPr>
        <w:ind w:left="60" w:right="179"/>
        <w:spacing w:after="0" w:line="233" w:lineRule="auto"/>
        <w:rPr>
          <w:sz w:val="20"/>
          <w:szCs w:val="20"/>
          <w:color w:val="auto"/>
        </w:rPr>
      </w:pPr>
      <w:r>
        <w:rPr>
          <w:rFonts w:ascii="Arial" w:cs="Arial" w:eastAsia="Arial" w:hAnsi="Arial"/>
          <w:sz w:val="20"/>
          <w:szCs w:val="20"/>
          <w:b w:val="1"/>
          <w:bCs w:val="1"/>
          <w:color w:val="auto"/>
        </w:rPr>
        <w:t>Lars Wegner, CEO of Evaxion</w:t>
      </w:r>
      <w:r>
        <w:rPr>
          <w:rFonts w:ascii="Arial" w:cs="Arial" w:eastAsia="Arial" w:hAnsi="Arial"/>
          <w:sz w:val="20"/>
          <w:szCs w:val="20"/>
          <w:color w:val="auto"/>
        </w:rPr>
        <w:t>, said: “Evaxion made strong progress in Q1 2021, successfully</w:t>
      </w:r>
      <w:r>
        <w:rPr>
          <w:rFonts w:ascii="Arial" w:cs="Arial" w:eastAsia="Arial" w:hAnsi="Arial"/>
          <w:sz w:val="20"/>
          <w:szCs w:val="20"/>
          <w:b w:val="1"/>
          <w:bCs w:val="1"/>
          <w:color w:val="auto"/>
        </w:rPr>
        <w:t xml:space="preserve"> </w:t>
      </w:r>
      <w:r>
        <w:rPr>
          <w:rFonts w:ascii="Arial" w:cs="Arial" w:eastAsia="Arial" w:hAnsi="Arial"/>
          <w:sz w:val="20"/>
          <w:szCs w:val="20"/>
          <w:color w:val="auto"/>
        </w:rPr>
        <w:t>concluding our U.S. IPO and continuing to advance our clinical programs. Our two lead product candidates, EVX-01 and EVX-02, are on track for results from Phase 1/2a trials late in Q2 and we continue to develop our RAVEN AI platform for vaccine design and development for viral infections. We believe that our cash reserves of $ 27 million provide a solid financial foundation and will facilitate the continued development of our four lead programs.”</w:t>
      </w:r>
    </w:p>
    <w:p>
      <w:pPr>
        <w:spacing w:after="0" w:line="172" w:lineRule="exact"/>
        <w:rPr>
          <w:sz w:val="20"/>
          <w:szCs w:val="20"/>
          <w:color w:val="auto"/>
        </w:rPr>
      </w:pPr>
    </w:p>
    <w:p>
      <w:pPr>
        <w:ind w:left="60"/>
        <w:spacing w:after="0"/>
        <w:rPr>
          <w:sz w:val="20"/>
          <w:szCs w:val="20"/>
          <w:color w:val="auto"/>
        </w:rPr>
      </w:pPr>
      <w:r>
        <w:rPr>
          <w:rFonts w:ascii="Arial" w:cs="Arial" w:eastAsia="Arial" w:hAnsi="Arial"/>
          <w:sz w:val="20"/>
          <w:szCs w:val="20"/>
          <w:b w:val="1"/>
          <w:bCs w:val="1"/>
          <w:color w:val="auto"/>
        </w:rPr>
        <w:t>Operational and Business Highlights in Q1 2021</w:t>
      </w:r>
    </w:p>
    <w:p>
      <w:pPr>
        <w:spacing w:after="0" w:line="226" w:lineRule="exact"/>
        <w:rPr>
          <w:sz w:val="20"/>
          <w:szCs w:val="20"/>
          <w:color w:val="auto"/>
        </w:rPr>
      </w:pPr>
    </w:p>
    <w:p>
      <w:pPr>
        <w:jc w:val="both"/>
        <w:ind w:left="700" w:right="79" w:hanging="326"/>
        <w:spacing w:after="0" w:line="232" w:lineRule="auto"/>
        <w:tabs>
          <w:tab w:leader="none" w:pos="700" w:val="left"/>
        </w:tabs>
        <w:numPr>
          <w:ilvl w:val="0"/>
          <w:numId w:val="2"/>
        </w:numPr>
        <w:rPr>
          <w:rFonts w:ascii="Arial" w:cs="Arial" w:eastAsia="Arial" w:hAnsi="Arial"/>
          <w:sz w:val="18"/>
          <w:szCs w:val="18"/>
          <w:color w:val="auto"/>
        </w:rPr>
      </w:pPr>
      <w:r>
        <w:rPr>
          <w:rFonts w:ascii="Arial" w:cs="Arial" w:eastAsia="Arial" w:hAnsi="Arial"/>
          <w:sz w:val="20"/>
          <w:szCs w:val="20"/>
          <w:color w:val="auto"/>
        </w:rPr>
        <w:t>Closed U.S. initial public offering of 3,000,000 American Depositary Shares at a public offering price of $10.00 per ADS. The gross proceeds from the offering, before deducting underwriting fees and commissions and other offering expenses, were $30 million.</w:t>
      </w:r>
    </w:p>
    <w:p>
      <w:pPr>
        <w:spacing w:after="0" w:line="35" w:lineRule="exact"/>
        <w:rPr>
          <w:rFonts w:ascii="Arial" w:cs="Arial" w:eastAsia="Arial" w:hAnsi="Arial"/>
          <w:sz w:val="18"/>
          <w:szCs w:val="18"/>
          <w:color w:val="auto"/>
        </w:rPr>
      </w:pPr>
    </w:p>
    <w:p>
      <w:pPr>
        <w:ind w:left="700" w:right="99" w:hanging="326"/>
        <w:spacing w:after="0" w:line="236" w:lineRule="auto"/>
        <w:tabs>
          <w:tab w:leader="none" w:pos="700" w:val="left"/>
        </w:tabs>
        <w:numPr>
          <w:ilvl w:val="0"/>
          <w:numId w:val="2"/>
        </w:numPr>
        <w:rPr>
          <w:rFonts w:ascii="Arial" w:cs="Arial" w:eastAsia="Arial" w:hAnsi="Arial"/>
          <w:sz w:val="18"/>
          <w:szCs w:val="18"/>
          <w:color w:val="auto"/>
        </w:rPr>
      </w:pPr>
      <w:r>
        <w:rPr>
          <w:rFonts w:ascii="Arial" w:cs="Arial" w:eastAsia="Arial" w:hAnsi="Arial"/>
          <w:sz w:val="20"/>
          <w:szCs w:val="20"/>
          <w:color w:val="auto"/>
        </w:rPr>
        <w:t>Recruitment for two lead product candidates, EVX-01 and EVX-02, in Phase 1/2a clinical trials remains on track for data readouts late in Q2.</w:t>
      </w:r>
    </w:p>
    <w:p>
      <w:pPr>
        <w:spacing w:after="0" w:line="33" w:lineRule="exact"/>
        <w:rPr>
          <w:rFonts w:ascii="Arial" w:cs="Arial" w:eastAsia="Arial" w:hAnsi="Arial"/>
          <w:sz w:val="18"/>
          <w:szCs w:val="18"/>
          <w:color w:val="auto"/>
        </w:rPr>
      </w:pPr>
    </w:p>
    <w:p>
      <w:pPr>
        <w:ind w:left="700" w:right="119" w:hanging="326"/>
        <w:spacing w:after="0" w:line="230" w:lineRule="auto"/>
        <w:tabs>
          <w:tab w:leader="none" w:pos="700" w:val="left"/>
        </w:tabs>
        <w:numPr>
          <w:ilvl w:val="0"/>
          <w:numId w:val="2"/>
        </w:numPr>
        <w:rPr>
          <w:rFonts w:ascii="Arial" w:cs="Arial" w:eastAsia="Arial" w:hAnsi="Arial"/>
          <w:sz w:val="18"/>
          <w:szCs w:val="18"/>
          <w:color w:val="auto"/>
        </w:rPr>
      </w:pPr>
      <w:r>
        <w:rPr>
          <w:rFonts w:ascii="Arial" w:cs="Arial" w:eastAsia="Arial" w:hAnsi="Arial"/>
          <w:sz w:val="20"/>
          <w:szCs w:val="20"/>
          <w:color w:val="auto"/>
        </w:rPr>
        <w:t xml:space="preserve">Other lead product candidates, EVX-03 for multiple cancer indications and EVX-B1, a vaccine for the prevention of </w:t>
      </w:r>
      <w:r>
        <w:rPr>
          <w:rFonts w:ascii="Arial" w:cs="Arial" w:eastAsia="Arial" w:hAnsi="Arial"/>
          <w:sz w:val="20"/>
          <w:szCs w:val="20"/>
          <w:i w:val="1"/>
          <w:iCs w:val="1"/>
          <w:color w:val="auto"/>
        </w:rPr>
        <w:t>Staphylococcus aureus</w:t>
      </w:r>
      <w:r>
        <w:rPr>
          <w:rFonts w:ascii="Arial" w:cs="Arial" w:eastAsia="Arial" w:hAnsi="Arial"/>
          <w:sz w:val="20"/>
          <w:szCs w:val="20"/>
          <w:color w:val="auto"/>
        </w:rPr>
        <w:t xml:space="preserve"> including MRSA, continue to progress as expected through pre-clinical development and Chemistry, Manufacturing and Controls (CMC).</w:t>
      </w:r>
    </w:p>
    <w:p>
      <w:pPr>
        <w:spacing w:after="0" w:line="36" w:lineRule="exact"/>
        <w:rPr>
          <w:rFonts w:ascii="Arial" w:cs="Arial" w:eastAsia="Arial" w:hAnsi="Arial"/>
          <w:sz w:val="18"/>
          <w:szCs w:val="18"/>
          <w:color w:val="auto"/>
        </w:rPr>
      </w:pPr>
    </w:p>
    <w:p>
      <w:pPr>
        <w:ind w:left="700" w:hanging="326"/>
        <w:spacing w:after="0"/>
        <w:tabs>
          <w:tab w:leader="none" w:pos="700" w:val="left"/>
        </w:tabs>
        <w:numPr>
          <w:ilvl w:val="0"/>
          <w:numId w:val="2"/>
        </w:numPr>
        <w:rPr>
          <w:rFonts w:ascii="Arial" w:cs="Arial" w:eastAsia="Arial" w:hAnsi="Arial"/>
          <w:sz w:val="17"/>
          <w:szCs w:val="17"/>
          <w:color w:val="auto"/>
        </w:rPr>
      </w:pPr>
      <w:r>
        <w:rPr>
          <w:rFonts w:ascii="Arial" w:cs="Arial" w:eastAsia="Arial" w:hAnsi="Arial"/>
          <w:sz w:val="19"/>
          <w:szCs w:val="19"/>
          <w:color w:val="auto"/>
        </w:rPr>
        <w:t>Cash reserves at March 31, 2021 of $27.0 million, provide continued funding of key programs.</w:t>
      </w:r>
    </w:p>
    <w:p>
      <w:pPr>
        <w:spacing w:after="0" w:line="51" w:lineRule="exact"/>
        <w:rPr>
          <w:rFonts w:ascii="Arial" w:cs="Arial" w:eastAsia="Arial" w:hAnsi="Arial"/>
          <w:sz w:val="17"/>
          <w:szCs w:val="17"/>
          <w:color w:val="auto"/>
        </w:rPr>
      </w:pPr>
    </w:p>
    <w:p>
      <w:pPr>
        <w:ind w:left="700" w:right="639" w:hanging="326"/>
        <w:spacing w:after="0" w:line="236" w:lineRule="auto"/>
        <w:tabs>
          <w:tab w:leader="none" w:pos="700" w:val="left"/>
        </w:tabs>
        <w:numPr>
          <w:ilvl w:val="0"/>
          <w:numId w:val="2"/>
        </w:numPr>
        <w:rPr>
          <w:rFonts w:ascii="Arial" w:cs="Arial" w:eastAsia="Arial" w:hAnsi="Arial"/>
          <w:sz w:val="18"/>
          <w:szCs w:val="18"/>
          <w:color w:val="auto"/>
        </w:rPr>
      </w:pPr>
      <w:r>
        <w:rPr>
          <w:rFonts w:ascii="Arial" w:cs="Arial" w:eastAsia="Arial" w:hAnsi="Arial"/>
          <w:sz w:val="20"/>
          <w:szCs w:val="20"/>
          <w:color w:val="auto"/>
        </w:rPr>
        <w:t>Opened new corporate headquarters and research laboratory facility located in the DTU Science Park in Hoersholm near Copenhagen, Denmark.</w:t>
      </w:r>
    </w:p>
    <w:p>
      <w:pPr>
        <w:spacing w:after="0" w:line="33" w:lineRule="exact"/>
        <w:rPr>
          <w:rFonts w:ascii="Arial" w:cs="Arial" w:eastAsia="Arial" w:hAnsi="Arial"/>
          <w:sz w:val="18"/>
          <w:szCs w:val="18"/>
          <w:color w:val="auto"/>
        </w:rPr>
      </w:pPr>
    </w:p>
    <w:p>
      <w:pPr>
        <w:ind w:left="700" w:right="239" w:hanging="326"/>
        <w:spacing w:after="0" w:line="232" w:lineRule="auto"/>
        <w:tabs>
          <w:tab w:leader="none" w:pos="700" w:val="left"/>
        </w:tabs>
        <w:numPr>
          <w:ilvl w:val="0"/>
          <w:numId w:val="2"/>
        </w:numPr>
        <w:rPr>
          <w:rFonts w:ascii="Arial" w:cs="Arial" w:eastAsia="Arial" w:hAnsi="Arial"/>
          <w:sz w:val="18"/>
          <w:szCs w:val="18"/>
          <w:color w:val="auto"/>
        </w:rPr>
      </w:pPr>
      <w:r>
        <w:rPr>
          <w:rFonts w:ascii="Arial" w:cs="Arial" w:eastAsia="Arial" w:hAnsi="Arial"/>
          <w:sz w:val="20"/>
          <w:szCs w:val="20"/>
          <w:color w:val="auto"/>
        </w:rPr>
        <w:t xml:space="preserve">Publication of a paper in the peer-reviewed journal Scientific Reports, describing a study into the bacterium </w:t>
      </w:r>
      <w:r>
        <w:rPr>
          <w:rFonts w:ascii="Arial" w:cs="Arial" w:eastAsia="Arial" w:hAnsi="Arial"/>
          <w:sz w:val="20"/>
          <w:szCs w:val="20"/>
          <w:i w:val="1"/>
          <w:iCs w:val="1"/>
          <w:color w:val="auto"/>
        </w:rPr>
        <w:t>S. aureus</w:t>
      </w:r>
      <w:r>
        <w:rPr>
          <w:rFonts w:ascii="Arial" w:cs="Arial" w:eastAsia="Arial" w:hAnsi="Arial"/>
          <w:sz w:val="20"/>
          <w:szCs w:val="20"/>
          <w:color w:val="auto"/>
        </w:rPr>
        <w:t>, which may facilitate a better understanding of host-pathogen interactions during invasive infection.</w:t>
      </w:r>
    </w:p>
    <w:p>
      <w:pPr>
        <w:spacing w:after="0" w:line="173" w:lineRule="exact"/>
        <w:rPr>
          <w:sz w:val="20"/>
          <w:szCs w:val="20"/>
          <w:color w:val="auto"/>
        </w:rPr>
      </w:pPr>
    </w:p>
    <w:p>
      <w:pPr>
        <w:ind w:left="60"/>
        <w:spacing w:after="0"/>
        <w:rPr>
          <w:sz w:val="20"/>
          <w:szCs w:val="20"/>
          <w:color w:val="auto"/>
        </w:rPr>
      </w:pPr>
      <w:r>
        <w:rPr>
          <w:rFonts w:ascii="Arial" w:cs="Arial" w:eastAsia="Arial" w:hAnsi="Arial"/>
          <w:sz w:val="20"/>
          <w:szCs w:val="20"/>
          <w:b w:val="1"/>
          <w:bCs w:val="1"/>
          <w:color w:val="auto"/>
        </w:rPr>
        <w:t>Events after the Reporting Period</w:t>
      </w:r>
    </w:p>
    <w:p>
      <w:pPr>
        <w:spacing w:after="0" w:line="226" w:lineRule="exact"/>
        <w:rPr>
          <w:sz w:val="20"/>
          <w:szCs w:val="20"/>
          <w:color w:val="auto"/>
        </w:rPr>
      </w:pPr>
    </w:p>
    <w:p>
      <w:pPr>
        <w:ind w:left="700" w:right="179" w:hanging="326"/>
        <w:spacing w:after="0" w:line="232" w:lineRule="auto"/>
        <w:tabs>
          <w:tab w:leader="none" w:pos="700" w:val="left"/>
        </w:tabs>
        <w:numPr>
          <w:ilvl w:val="0"/>
          <w:numId w:val="3"/>
        </w:numPr>
        <w:rPr>
          <w:rFonts w:ascii="Arial" w:cs="Arial" w:eastAsia="Arial" w:hAnsi="Arial"/>
          <w:sz w:val="18"/>
          <w:szCs w:val="18"/>
          <w:color w:val="auto"/>
        </w:rPr>
      </w:pPr>
      <w:r>
        <w:rPr>
          <w:rFonts w:ascii="Arial" w:cs="Arial" w:eastAsia="Arial" w:hAnsi="Arial"/>
          <w:sz w:val="20"/>
          <w:szCs w:val="20"/>
          <w:color w:val="auto"/>
        </w:rPr>
        <w:t>Presentation at the 4th Neoantigen Summit Europe, described Evaxion’s recent improvement in determining cancer neoepitopes through measurement and prediction of peptide-MHC (pMHC) complex stability.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333375</wp:posOffset>
            </wp:positionV>
            <wp:extent cx="5657850" cy="26035"/>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5657850" cy="26035"/>
                    </a:xfrm>
                    <a:prstGeom prst="rect">
                      <a:avLst/>
                    </a:prstGeom>
                    <a:noFill/>
                  </pic:spPr>
                </pic:pic>
              </a:graphicData>
            </a:graphic>
          </wp:anchor>
        </w:drawing>
      </w:r>
    </w:p>
    <w:p>
      <w:pPr>
        <w:sectPr>
          <w:pgSz w:w="11900" w:h="16838" w:orient="portrait"/>
          <w:cols w:equalWidth="0" w:num="1">
            <w:col w:w="9019"/>
          </w:cols>
          <w:pgMar w:left="1440" w:top="1440" w:right="1440" w:bottom="1440" w:gutter="0" w:footer="0" w:header="0"/>
        </w:sectPr>
      </w:pPr>
    </w:p>
    <w:bookmarkStart w:id="4" w:name="page5"/>
    <w:bookmarkEnd w:id="4"/>
    <w:p>
      <w:pPr>
        <w:ind w:left="60"/>
        <w:spacing w:after="0"/>
        <w:rPr>
          <w:sz w:val="20"/>
          <w:szCs w:val="20"/>
          <w:color w:val="auto"/>
        </w:rPr>
      </w:pPr>
      <w:r>
        <w:rPr>
          <w:rFonts w:ascii="Arial" w:cs="Arial" w:eastAsia="Arial" w:hAnsi="Arial"/>
          <w:sz w:val="20"/>
          <w:szCs w:val="20"/>
          <w:b w:val="1"/>
          <w:bCs w:val="1"/>
          <w:color w:val="auto"/>
        </w:rPr>
        <w:t>Expected milestones in 2021</w:t>
      </w:r>
    </w:p>
    <w:p>
      <w:pPr>
        <w:spacing w:after="0" w:line="226" w:lineRule="exact"/>
        <w:rPr>
          <w:sz w:val="20"/>
          <w:szCs w:val="20"/>
          <w:color w:val="auto"/>
        </w:rPr>
      </w:pPr>
    </w:p>
    <w:p>
      <w:pPr>
        <w:ind w:left="700" w:hanging="326"/>
        <w:spacing w:after="0"/>
        <w:tabs>
          <w:tab w:leader="none" w:pos="700" w:val="left"/>
        </w:tabs>
        <w:numPr>
          <w:ilvl w:val="0"/>
          <w:numId w:val="4"/>
        </w:numPr>
        <w:rPr>
          <w:rFonts w:ascii="Arial" w:cs="Arial" w:eastAsia="Arial" w:hAnsi="Arial"/>
          <w:sz w:val="18"/>
          <w:szCs w:val="18"/>
          <w:color w:val="auto"/>
        </w:rPr>
      </w:pPr>
      <w:r>
        <w:rPr>
          <w:rFonts w:ascii="Arial" w:cs="Arial" w:eastAsia="Arial" w:hAnsi="Arial"/>
          <w:sz w:val="20"/>
          <w:szCs w:val="20"/>
          <w:color w:val="auto"/>
        </w:rPr>
        <w:t>Phase 1/2a data readout on EVX-01 in metastatic melanoma - Q2 2021</w:t>
      </w:r>
    </w:p>
    <w:p>
      <w:pPr>
        <w:spacing w:after="0" w:line="40" w:lineRule="exact"/>
        <w:rPr>
          <w:rFonts w:ascii="Arial" w:cs="Arial" w:eastAsia="Arial" w:hAnsi="Arial"/>
          <w:sz w:val="18"/>
          <w:szCs w:val="18"/>
          <w:color w:val="auto"/>
        </w:rPr>
      </w:pPr>
    </w:p>
    <w:p>
      <w:pPr>
        <w:ind w:left="700" w:hanging="326"/>
        <w:spacing w:after="0"/>
        <w:tabs>
          <w:tab w:leader="none" w:pos="700" w:val="left"/>
        </w:tabs>
        <w:numPr>
          <w:ilvl w:val="0"/>
          <w:numId w:val="4"/>
        </w:numPr>
        <w:rPr>
          <w:rFonts w:ascii="Arial" w:cs="Arial" w:eastAsia="Arial" w:hAnsi="Arial"/>
          <w:sz w:val="18"/>
          <w:szCs w:val="18"/>
          <w:color w:val="auto"/>
        </w:rPr>
      </w:pPr>
      <w:r>
        <w:rPr>
          <w:rFonts w:ascii="Arial" w:cs="Arial" w:eastAsia="Arial" w:hAnsi="Arial"/>
          <w:sz w:val="20"/>
          <w:szCs w:val="20"/>
          <w:color w:val="auto"/>
        </w:rPr>
        <w:t>Phase 1/2a data readout on EVX-02 in adjuvant melanoma - Q2 2021</w:t>
      </w:r>
    </w:p>
    <w:p>
      <w:pPr>
        <w:spacing w:after="0" w:line="40" w:lineRule="exact"/>
        <w:rPr>
          <w:rFonts w:ascii="Arial" w:cs="Arial" w:eastAsia="Arial" w:hAnsi="Arial"/>
          <w:sz w:val="18"/>
          <w:szCs w:val="18"/>
          <w:color w:val="auto"/>
        </w:rPr>
      </w:pPr>
    </w:p>
    <w:p>
      <w:pPr>
        <w:ind w:left="700" w:hanging="326"/>
        <w:spacing w:after="0"/>
        <w:tabs>
          <w:tab w:leader="none" w:pos="700" w:val="left"/>
        </w:tabs>
        <w:numPr>
          <w:ilvl w:val="0"/>
          <w:numId w:val="4"/>
        </w:numPr>
        <w:rPr>
          <w:rFonts w:ascii="Arial" w:cs="Arial" w:eastAsia="Arial" w:hAnsi="Arial"/>
          <w:sz w:val="18"/>
          <w:szCs w:val="18"/>
          <w:color w:val="auto"/>
        </w:rPr>
      </w:pPr>
      <w:r>
        <w:rPr>
          <w:rFonts w:ascii="Arial" w:cs="Arial" w:eastAsia="Arial" w:hAnsi="Arial"/>
          <w:sz w:val="20"/>
          <w:szCs w:val="20"/>
          <w:color w:val="auto"/>
        </w:rPr>
        <w:t>Regulatory filing for clinical trial of EVX-03 in multiple cancers - H2 2021</w:t>
      </w:r>
    </w:p>
    <w:p>
      <w:pPr>
        <w:spacing w:after="0" w:line="178" w:lineRule="exact"/>
        <w:rPr>
          <w:sz w:val="20"/>
          <w:szCs w:val="20"/>
          <w:color w:val="auto"/>
        </w:rPr>
      </w:pPr>
    </w:p>
    <w:p>
      <w:pPr>
        <w:ind w:left="60"/>
        <w:spacing w:after="0"/>
        <w:rPr>
          <w:sz w:val="20"/>
          <w:szCs w:val="20"/>
          <w:color w:val="auto"/>
        </w:rPr>
      </w:pPr>
      <w:r>
        <w:rPr>
          <w:rFonts w:ascii="Arial" w:cs="Arial" w:eastAsia="Arial" w:hAnsi="Arial"/>
          <w:sz w:val="20"/>
          <w:szCs w:val="20"/>
          <w:b w:val="1"/>
          <w:bCs w:val="1"/>
          <w:color w:val="auto"/>
        </w:rPr>
        <w:t>First Quarter 2021 Financial Results</w:t>
      </w:r>
    </w:p>
    <w:p>
      <w:pPr>
        <w:spacing w:after="0" w:line="226" w:lineRule="exact"/>
        <w:rPr>
          <w:sz w:val="20"/>
          <w:szCs w:val="20"/>
          <w:color w:val="auto"/>
        </w:rPr>
      </w:pPr>
    </w:p>
    <w:p>
      <w:pPr>
        <w:ind w:left="700" w:right="99" w:hanging="326"/>
        <w:spacing w:after="0" w:line="230" w:lineRule="auto"/>
        <w:tabs>
          <w:tab w:leader="none" w:pos="700" w:val="left"/>
        </w:tabs>
        <w:numPr>
          <w:ilvl w:val="0"/>
          <w:numId w:val="5"/>
        </w:numPr>
        <w:rPr>
          <w:rFonts w:ascii="Arial" w:cs="Arial" w:eastAsia="Arial" w:hAnsi="Arial"/>
          <w:sz w:val="18"/>
          <w:szCs w:val="18"/>
          <w:color w:val="444444"/>
        </w:rPr>
      </w:pPr>
      <w:r>
        <w:rPr>
          <w:rFonts w:ascii="Arial" w:cs="Arial" w:eastAsia="Arial" w:hAnsi="Arial"/>
          <w:sz w:val="20"/>
          <w:szCs w:val="20"/>
          <w:u w:val="single" w:color="auto"/>
          <w:color w:val="444444"/>
        </w:rPr>
        <w:t>Cash position</w:t>
      </w:r>
      <w:r>
        <w:rPr>
          <w:rFonts w:ascii="Arial" w:cs="Arial" w:eastAsia="Arial" w:hAnsi="Arial"/>
          <w:sz w:val="20"/>
          <w:szCs w:val="20"/>
          <w:color w:val="444444"/>
        </w:rPr>
        <w:t>: As of March 31, 2021, cash and cash equivalents were $27.0 million compared to $5.8 million as of December 31, 2020. On February 9, 2021, we closed our IPO raising net proceeds of $27.9 million after underwriting discounts and commissions, but before offering expenses.</w:t>
      </w:r>
    </w:p>
    <w:p>
      <w:pPr>
        <w:spacing w:after="0" w:line="36" w:lineRule="exact"/>
        <w:rPr>
          <w:rFonts w:ascii="Arial" w:cs="Arial" w:eastAsia="Arial" w:hAnsi="Arial"/>
          <w:sz w:val="18"/>
          <w:szCs w:val="18"/>
          <w:color w:val="444444"/>
        </w:rPr>
      </w:pPr>
    </w:p>
    <w:p>
      <w:pPr>
        <w:ind w:left="700" w:right="79" w:hanging="326"/>
        <w:spacing w:after="0" w:line="229" w:lineRule="auto"/>
        <w:tabs>
          <w:tab w:leader="none" w:pos="700" w:val="left"/>
        </w:tabs>
        <w:numPr>
          <w:ilvl w:val="0"/>
          <w:numId w:val="5"/>
        </w:numPr>
        <w:rPr>
          <w:rFonts w:ascii="Arial" w:cs="Arial" w:eastAsia="Arial" w:hAnsi="Arial"/>
          <w:sz w:val="18"/>
          <w:szCs w:val="18"/>
          <w:color w:val="444444"/>
        </w:rPr>
      </w:pPr>
      <w:r>
        <w:rPr>
          <w:rFonts w:ascii="Arial" w:cs="Arial" w:eastAsia="Arial" w:hAnsi="Arial"/>
          <w:sz w:val="20"/>
          <w:szCs w:val="20"/>
          <w:u w:val="single" w:color="auto"/>
          <w:color w:val="444444"/>
        </w:rPr>
        <w:t>Research and Development expenses</w:t>
      </w:r>
      <w:r>
        <w:rPr>
          <w:rFonts w:ascii="Arial" w:cs="Arial" w:eastAsia="Arial" w:hAnsi="Arial"/>
          <w:sz w:val="20"/>
          <w:szCs w:val="20"/>
          <w:color w:val="444444"/>
        </w:rPr>
        <w:t xml:space="preserve"> were $3.9 million for the quarter ended March 31, 2021, compared to $2.5 million for the same period in 2020. The increase of $1.4 million was primarily related to increased spending, net of grant income, for ongoing development on our platform, pre-clinical product candidates, and clinical trials. In addition, employee-related costs increased due to higher headcount.</w:t>
      </w:r>
    </w:p>
    <w:p>
      <w:pPr>
        <w:spacing w:after="0" w:line="36" w:lineRule="exact"/>
        <w:rPr>
          <w:rFonts w:ascii="Arial" w:cs="Arial" w:eastAsia="Arial" w:hAnsi="Arial"/>
          <w:sz w:val="18"/>
          <w:szCs w:val="18"/>
          <w:color w:val="444444"/>
        </w:rPr>
      </w:pPr>
    </w:p>
    <w:p>
      <w:pPr>
        <w:ind w:left="700" w:right="99" w:hanging="326"/>
        <w:spacing w:after="0" w:line="230" w:lineRule="auto"/>
        <w:tabs>
          <w:tab w:leader="none" w:pos="700" w:val="left"/>
        </w:tabs>
        <w:numPr>
          <w:ilvl w:val="0"/>
          <w:numId w:val="5"/>
        </w:numPr>
        <w:rPr>
          <w:rFonts w:ascii="Arial" w:cs="Arial" w:eastAsia="Arial" w:hAnsi="Arial"/>
          <w:sz w:val="18"/>
          <w:szCs w:val="18"/>
          <w:color w:val="444444"/>
        </w:rPr>
      </w:pPr>
      <w:r>
        <w:rPr>
          <w:rFonts w:ascii="Arial" w:cs="Arial" w:eastAsia="Arial" w:hAnsi="Arial"/>
          <w:sz w:val="20"/>
          <w:szCs w:val="20"/>
          <w:u w:val="single" w:color="auto"/>
          <w:color w:val="444444"/>
        </w:rPr>
        <w:t>General and Administrative expenses</w:t>
      </w:r>
      <w:r>
        <w:rPr>
          <w:rFonts w:ascii="Arial" w:cs="Arial" w:eastAsia="Arial" w:hAnsi="Arial"/>
          <w:sz w:val="20"/>
          <w:szCs w:val="20"/>
          <w:color w:val="444444"/>
        </w:rPr>
        <w:t xml:space="preserve"> were $1.3 million for the quarter ended March 31, 2021, compared to $0.8 million for the same period in 2020. The increase of $0.5 million was primarily related to increases in overhead and professional fees related to the expansion of our corporate function for our initial public offering.</w:t>
      </w:r>
    </w:p>
    <w:p>
      <w:pPr>
        <w:spacing w:after="0" w:line="36" w:lineRule="exact"/>
        <w:rPr>
          <w:rFonts w:ascii="Arial" w:cs="Arial" w:eastAsia="Arial" w:hAnsi="Arial"/>
          <w:sz w:val="18"/>
          <w:szCs w:val="18"/>
          <w:color w:val="444444"/>
        </w:rPr>
      </w:pPr>
    </w:p>
    <w:p>
      <w:pPr>
        <w:ind w:left="700" w:right="239" w:hanging="326"/>
        <w:spacing w:after="0" w:line="232" w:lineRule="auto"/>
        <w:tabs>
          <w:tab w:leader="none" w:pos="700" w:val="left"/>
        </w:tabs>
        <w:numPr>
          <w:ilvl w:val="0"/>
          <w:numId w:val="5"/>
        </w:numPr>
        <w:rPr>
          <w:rFonts w:ascii="Arial" w:cs="Arial" w:eastAsia="Arial" w:hAnsi="Arial"/>
          <w:sz w:val="18"/>
          <w:szCs w:val="18"/>
          <w:color w:val="444444"/>
        </w:rPr>
      </w:pPr>
      <w:r>
        <w:rPr>
          <w:rFonts w:ascii="Arial" w:cs="Arial" w:eastAsia="Arial" w:hAnsi="Arial"/>
          <w:sz w:val="20"/>
          <w:szCs w:val="20"/>
          <w:u w:val="single" w:color="auto"/>
          <w:color w:val="444444"/>
        </w:rPr>
        <w:t>Net loss</w:t>
      </w:r>
      <w:r>
        <w:rPr>
          <w:rFonts w:ascii="Arial" w:cs="Arial" w:eastAsia="Arial" w:hAnsi="Arial"/>
          <w:sz w:val="20"/>
          <w:szCs w:val="20"/>
          <w:color w:val="444444"/>
        </w:rPr>
        <w:t xml:space="preserve"> was $4.1 million for the quarter ended March 31, 2021 or ($0.23) loss per basic and diluted share, compared to $3.1 million, or ($0.20) loss per basic and diluted share, for the same period in 2020.</w:t>
      </w:r>
    </w:p>
    <w:p>
      <w:pPr>
        <w:spacing w:after="0" w:line="177" w:lineRule="exact"/>
        <w:rPr>
          <w:sz w:val="20"/>
          <w:szCs w:val="20"/>
          <w:color w:val="auto"/>
        </w:rPr>
      </w:pPr>
    </w:p>
    <w:p>
      <w:pPr>
        <w:ind w:left="60"/>
        <w:spacing w:after="0"/>
        <w:rPr>
          <w:sz w:val="20"/>
          <w:szCs w:val="20"/>
          <w:color w:val="auto"/>
        </w:rPr>
      </w:pPr>
      <w:r>
        <w:rPr>
          <w:rFonts w:ascii="Arial" w:cs="Arial" w:eastAsia="Arial" w:hAnsi="Arial"/>
          <w:sz w:val="20"/>
          <w:szCs w:val="20"/>
          <w:i w:val="1"/>
          <w:iCs w:val="1"/>
          <w:color w:val="auto"/>
        </w:rPr>
        <w:t>Guidance</w:t>
      </w:r>
    </w:p>
    <w:p>
      <w:pPr>
        <w:spacing w:after="0" w:line="222" w:lineRule="exact"/>
        <w:rPr>
          <w:sz w:val="20"/>
          <w:szCs w:val="20"/>
          <w:color w:val="auto"/>
        </w:rPr>
      </w:pPr>
    </w:p>
    <w:p>
      <w:pPr>
        <w:ind w:left="700" w:hanging="326"/>
        <w:spacing w:after="0"/>
        <w:tabs>
          <w:tab w:leader="none" w:pos="700" w:val="left"/>
        </w:tabs>
        <w:numPr>
          <w:ilvl w:val="0"/>
          <w:numId w:val="6"/>
        </w:numPr>
        <w:rPr>
          <w:rFonts w:ascii="Arial" w:cs="Arial" w:eastAsia="Arial" w:hAnsi="Arial"/>
          <w:sz w:val="18"/>
          <w:szCs w:val="18"/>
          <w:color w:val="444444"/>
        </w:rPr>
      </w:pPr>
      <w:r>
        <w:rPr>
          <w:rFonts w:ascii="Arial" w:cs="Arial" w:eastAsia="Arial" w:hAnsi="Arial"/>
          <w:sz w:val="20"/>
          <w:szCs w:val="20"/>
          <w:color w:val="444444"/>
        </w:rPr>
        <w:t>Evaxion’s operating plan extends its cash runway into 2022.</w:t>
      </w:r>
    </w:p>
    <w:p>
      <w:pPr>
        <w:spacing w:after="0" w:line="178" w:lineRule="exact"/>
        <w:rPr>
          <w:sz w:val="20"/>
          <w:szCs w:val="20"/>
          <w:color w:val="auto"/>
        </w:rPr>
      </w:pPr>
    </w:p>
    <w:p>
      <w:pPr>
        <w:ind w:left="60"/>
        <w:spacing w:after="0"/>
        <w:rPr>
          <w:sz w:val="20"/>
          <w:szCs w:val="20"/>
          <w:color w:val="auto"/>
        </w:rPr>
      </w:pPr>
      <w:r>
        <w:rPr>
          <w:rFonts w:ascii="Arial" w:cs="Arial" w:eastAsia="Arial" w:hAnsi="Arial"/>
          <w:sz w:val="20"/>
          <w:szCs w:val="20"/>
          <w:b w:val="1"/>
          <w:bCs w:val="1"/>
          <w:color w:val="auto"/>
        </w:rPr>
        <w:t>Webcast and Conference Call</w:t>
      </w:r>
    </w:p>
    <w:p>
      <w:pPr>
        <w:spacing w:after="0" w:line="226" w:lineRule="exact"/>
        <w:rPr>
          <w:sz w:val="20"/>
          <w:szCs w:val="20"/>
          <w:color w:val="auto"/>
        </w:rPr>
      </w:pPr>
    </w:p>
    <w:p>
      <w:pPr>
        <w:ind w:left="60"/>
        <w:spacing w:after="0"/>
        <w:rPr>
          <w:sz w:val="20"/>
          <w:szCs w:val="20"/>
          <w:color w:val="auto"/>
        </w:rPr>
      </w:pPr>
      <w:r>
        <w:rPr>
          <w:rFonts w:ascii="Arial" w:cs="Arial" w:eastAsia="Arial" w:hAnsi="Arial"/>
          <w:sz w:val="20"/>
          <w:szCs w:val="20"/>
          <w:color w:val="auto"/>
        </w:rPr>
        <w:t>Evaxion will host a webcast and conference call today, May 13, at 8:30 a.m. EDT.</w:t>
      </w:r>
    </w:p>
    <w:p>
      <w:pPr>
        <w:spacing w:after="0" w:line="94" w:lineRule="exact"/>
        <w:rPr>
          <w:sz w:val="20"/>
          <w:szCs w:val="20"/>
          <w:color w:val="auto"/>
        </w:rPr>
      </w:pPr>
    </w:p>
    <w:p>
      <w:pPr>
        <w:ind w:left="60"/>
        <w:spacing w:after="0"/>
        <w:rPr>
          <w:sz w:val="20"/>
          <w:szCs w:val="20"/>
          <w:color w:val="auto"/>
        </w:rPr>
      </w:pPr>
      <w:r>
        <w:rPr>
          <w:rFonts w:ascii="Arial" w:cs="Arial" w:eastAsia="Arial" w:hAnsi="Arial"/>
          <w:sz w:val="20"/>
          <w:szCs w:val="20"/>
          <w:color w:val="auto"/>
        </w:rPr>
        <w:t>To dial-in for the conference call, please use the following details:</w:t>
      </w:r>
    </w:p>
    <w:p>
      <w:pPr>
        <w:spacing w:after="0" w:line="94" w:lineRule="exact"/>
        <w:rPr>
          <w:sz w:val="20"/>
          <w:szCs w:val="20"/>
          <w:color w:val="auto"/>
        </w:rPr>
      </w:pPr>
    </w:p>
    <w:p>
      <w:pPr>
        <w:ind w:left="60"/>
        <w:spacing w:after="0"/>
        <w:rPr>
          <w:sz w:val="20"/>
          <w:szCs w:val="20"/>
          <w:color w:val="auto"/>
        </w:rPr>
      </w:pPr>
      <w:r>
        <w:rPr>
          <w:rFonts w:ascii="Arial" w:cs="Arial" w:eastAsia="Arial" w:hAnsi="Arial"/>
          <w:sz w:val="20"/>
          <w:szCs w:val="20"/>
          <w:color w:val="auto"/>
        </w:rPr>
        <w:t>US: 877-407-0792</w:t>
      </w:r>
    </w:p>
    <w:p>
      <w:pPr>
        <w:spacing w:after="0" w:line="94" w:lineRule="exact"/>
        <w:rPr>
          <w:sz w:val="20"/>
          <w:szCs w:val="20"/>
          <w:color w:val="auto"/>
        </w:rPr>
      </w:pPr>
    </w:p>
    <w:p>
      <w:pPr>
        <w:ind w:left="60"/>
        <w:spacing w:after="0"/>
        <w:rPr>
          <w:sz w:val="20"/>
          <w:szCs w:val="20"/>
          <w:color w:val="auto"/>
        </w:rPr>
      </w:pPr>
      <w:r>
        <w:rPr>
          <w:rFonts w:ascii="Arial" w:cs="Arial" w:eastAsia="Arial" w:hAnsi="Arial"/>
          <w:sz w:val="20"/>
          <w:szCs w:val="20"/>
          <w:color w:val="auto"/>
        </w:rPr>
        <w:t>International: +1-201-689-8263</w:t>
      </w:r>
    </w:p>
    <w:p>
      <w:pPr>
        <w:spacing w:after="0" w:line="94" w:lineRule="exact"/>
        <w:rPr>
          <w:sz w:val="20"/>
          <w:szCs w:val="20"/>
          <w:color w:val="auto"/>
        </w:rPr>
      </w:pPr>
    </w:p>
    <w:p>
      <w:pPr>
        <w:ind w:left="60"/>
        <w:spacing w:after="0"/>
        <w:rPr>
          <w:sz w:val="20"/>
          <w:szCs w:val="20"/>
          <w:color w:val="auto"/>
        </w:rPr>
      </w:pPr>
      <w:r>
        <w:rPr>
          <w:rFonts w:ascii="Arial" w:cs="Arial" w:eastAsia="Arial" w:hAnsi="Arial"/>
          <w:sz w:val="20"/>
          <w:szCs w:val="20"/>
          <w:color w:val="auto"/>
        </w:rPr>
        <w:t>Conference ID: 13718732</w:t>
      </w:r>
    </w:p>
    <w:p>
      <w:pPr>
        <w:spacing w:after="0" w:line="94" w:lineRule="exact"/>
        <w:rPr>
          <w:sz w:val="20"/>
          <w:szCs w:val="20"/>
          <w:color w:val="auto"/>
        </w:rPr>
      </w:pPr>
    </w:p>
    <w:p>
      <w:pPr>
        <w:ind w:left="60"/>
        <w:spacing w:after="0"/>
        <w:rPr>
          <w:sz w:val="20"/>
          <w:szCs w:val="20"/>
          <w:color w:val="auto"/>
        </w:rPr>
      </w:pPr>
      <w:r>
        <w:rPr>
          <w:rFonts w:ascii="Arial" w:cs="Arial" w:eastAsia="Arial" w:hAnsi="Arial"/>
          <w:sz w:val="20"/>
          <w:szCs w:val="20"/>
          <w:color w:val="auto"/>
        </w:rPr>
        <w:t>Alternatively to access the audio webcast, please visit the events page of Evaxion’s website at:</w:t>
      </w:r>
    </w:p>
    <w:p>
      <w:pPr>
        <w:spacing w:after="0" w:line="94" w:lineRule="exact"/>
        <w:rPr>
          <w:sz w:val="20"/>
          <w:szCs w:val="20"/>
          <w:color w:val="auto"/>
        </w:rPr>
      </w:pPr>
    </w:p>
    <w:p>
      <w:pPr>
        <w:ind w:left="60"/>
        <w:spacing w:after="0"/>
        <w:rPr>
          <w:sz w:val="20"/>
          <w:szCs w:val="20"/>
          <w:color w:val="auto"/>
        </w:rPr>
      </w:pPr>
      <w:r>
        <w:rPr>
          <w:rFonts w:ascii="Arial" w:cs="Arial" w:eastAsia="Arial" w:hAnsi="Arial"/>
          <w:sz w:val="20"/>
          <w:szCs w:val="20"/>
          <w:color w:val="auto"/>
        </w:rPr>
        <w:t>https://evaxion-biotech.com/news-and-events/events/default.aspx</w:t>
      </w:r>
    </w:p>
    <w:p>
      <w:pPr>
        <w:spacing w:after="0" w:line="178" w:lineRule="exact"/>
        <w:rPr>
          <w:sz w:val="20"/>
          <w:szCs w:val="20"/>
          <w:color w:val="auto"/>
        </w:rPr>
      </w:pPr>
    </w:p>
    <w:p>
      <w:pPr>
        <w:ind w:left="60"/>
        <w:spacing w:after="0"/>
        <w:rPr>
          <w:sz w:val="20"/>
          <w:szCs w:val="20"/>
          <w:color w:val="auto"/>
        </w:rPr>
      </w:pPr>
      <w:r>
        <w:rPr>
          <w:rFonts w:ascii="Arial" w:cs="Arial" w:eastAsia="Arial" w:hAnsi="Arial"/>
          <w:sz w:val="20"/>
          <w:szCs w:val="20"/>
          <w:b w:val="1"/>
          <w:bCs w:val="1"/>
          <w:color w:val="auto"/>
        </w:rPr>
        <w:t>About Evaxion</w:t>
      </w:r>
    </w:p>
    <w:p>
      <w:pPr>
        <w:spacing w:after="0" w:line="226" w:lineRule="exact"/>
        <w:rPr>
          <w:sz w:val="20"/>
          <w:szCs w:val="20"/>
          <w:color w:val="auto"/>
        </w:rPr>
      </w:pPr>
    </w:p>
    <w:p>
      <w:pPr>
        <w:ind w:left="60" w:right="139"/>
        <w:spacing w:after="0" w:line="228" w:lineRule="auto"/>
        <w:rPr>
          <w:sz w:val="20"/>
          <w:szCs w:val="20"/>
          <w:color w:val="auto"/>
        </w:rPr>
      </w:pPr>
      <w:r>
        <w:rPr>
          <w:rFonts w:ascii="Arial" w:cs="Arial" w:eastAsia="Arial" w:hAnsi="Arial"/>
          <w:sz w:val="20"/>
          <w:szCs w:val="20"/>
          <w:color w:val="auto"/>
        </w:rPr>
        <w:t>Evaxion Biotech A/S is a clinical-stage AI-immunology™ platform company decoding the human immune system to discover and develop novel immunotherapies to treat cancer, bacterial diseases and viral infections. Based on its proprietary and scalable AI-immunology core technology, Evaxion is developing a broad pipeline of novel product candidates which currently includes three patient-specific cancer immunotherapies, two of which are in Phase 1/2a clinical development. In addition, Evaxion is advancing a portfolio of vaccines to prevent bacterial and viral infections currently in preclinical development.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334010</wp:posOffset>
            </wp:positionV>
            <wp:extent cx="5657850" cy="26035"/>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5657850" cy="26035"/>
                    </a:xfrm>
                    <a:prstGeom prst="rect">
                      <a:avLst/>
                    </a:prstGeom>
                    <a:noFill/>
                  </pic:spPr>
                </pic:pic>
              </a:graphicData>
            </a:graphic>
          </wp:anchor>
        </w:drawing>
      </w:r>
    </w:p>
    <w:p>
      <w:pPr>
        <w:sectPr>
          <w:pgSz w:w="11900" w:h="16838" w:orient="portrait"/>
          <w:cols w:equalWidth="0" w:num="1">
            <w:col w:w="9019"/>
          </w:cols>
          <w:pgMar w:left="1440" w:top="112" w:right="1440" w:bottom="1440" w:gutter="0" w:footer="0" w:header="0"/>
        </w:sectPr>
      </w:pPr>
    </w:p>
    <w:bookmarkStart w:id="5" w:name="page6"/>
    <w:bookmarkEnd w:id="5"/>
    <w:p>
      <w:pPr>
        <w:ind w:left="60"/>
        <w:spacing w:after="0"/>
        <w:rPr>
          <w:sz w:val="20"/>
          <w:szCs w:val="20"/>
          <w:color w:val="auto"/>
        </w:rPr>
      </w:pPr>
      <w:r>
        <w:rPr>
          <w:rFonts w:ascii="Arial" w:cs="Arial" w:eastAsia="Arial" w:hAnsi="Arial"/>
          <w:sz w:val="19"/>
          <w:szCs w:val="19"/>
          <w:b w:val="1"/>
          <w:bCs w:val="1"/>
          <w:color w:val="auto"/>
        </w:rPr>
        <w:t>For more information</w:t>
      </w:r>
    </w:p>
    <w:p>
      <w:pPr>
        <w:sectPr>
          <w:pgSz w:w="11900" w:h="16838" w:orient="portrait"/>
          <w:cols w:equalWidth="0" w:num="1">
            <w:col w:w="9019"/>
          </w:cols>
          <w:pgMar w:left="1440" w:top="111" w:right="1440" w:bottom="1440" w:gutter="0" w:footer="0" w:header="0"/>
        </w:sectPr>
      </w:pPr>
    </w:p>
    <w:p>
      <w:pPr>
        <w:spacing w:after="0" w:line="129" w:lineRule="exact"/>
        <w:rPr>
          <w:sz w:val="20"/>
          <w:szCs w:val="20"/>
          <w:color w:val="auto"/>
        </w:rPr>
      </w:pPr>
    </w:p>
    <w:p>
      <w:pPr>
        <w:ind w:left="140"/>
        <w:spacing w:after="0"/>
        <w:rPr>
          <w:sz w:val="20"/>
          <w:szCs w:val="20"/>
          <w:color w:val="auto"/>
        </w:rPr>
      </w:pPr>
      <w:r>
        <w:rPr>
          <w:rFonts w:ascii="Arial" w:cs="Arial" w:eastAsia="Arial" w:hAnsi="Arial"/>
          <w:sz w:val="20"/>
          <w:szCs w:val="20"/>
          <w:color w:val="auto"/>
        </w:rPr>
        <w:t>Evaxion</w:t>
      </w:r>
    </w:p>
    <w:p>
      <w:pPr>
        <w:ind w:left="140"/>
        <w:spacing w:after="0" w:line="237" w:lineRule="auto"/>
        <w:rPr>
          <w:sz w:val="20"/>
          <w:szCs w:val="20"/>
          <w:color w:val="auto"/>
        </w:rPr>
      </w:pPr>
      <w:r>
        <w:rPr>
          <w:rFonts w:ascii="Arial" w:cs="Arial" w:eastAsia="Arial" w:hAnsi="Arial"/>
          <w:sz w:val="19"/>
          <w:szCs w:val="19"/>
          <w:color w:val="auto"/>
        </w:rPr>
        <w:t>Glenn S. Vraniak</w:t>
      </w:r>
    </w:p>
    <w:p>
      <w:pPr>
        <w:ind w:left="140"/>
        <w:spacing w:after="0"/>
        <w:rPr>
          <w:sz w:val="20"/>
          <w:szCs w:val="20"/>
          <w:color w:val="auto"/>
        </w:rPr>
      </w:pPr>
      <w:r>
        <w:rPr>
          <w:rFonts w:ascii="Arial" w:cs="Arial" w:eastAsia="Arial" w:hAnsi="Arial"/>
          <w:sz w:val="20"/>
          <w:szCs w:val="20"/>
          <w:color w:val="auto"/>
        </w:rPr>
        <w:t>Chief Financial</w:t>
      </w:r>
    </w:p>
    <w:p>
      <w:pPr>
        <w:spacing w:after="0" w:line="20" w:lineRule="exact"/>
        <w:rPr>
          <w:sz w:val="20"/>
          <w:szCs w:val="20"/>
          <w:color w:val="auto"/>
        </w:rPr>
      </w:pPr>
      <w:r>
        <w:rPr>
          <w:sz w:val="20"/>
          <w:szCs w:val="20"/>
          <w:color w:val="auto"/>
        </w:rPr>
        <w:br w:type="column"/>
      </w:r>
    </w:p>
    <w:p>
      <w:pPr>
        <w:spacing w:after="0" w:line="121" w:lineRule="exact"/>
        <w:rPr>
          <w:sz w:val="20"/>
          <w:szCs w:val="20"/>
          <w:color w:val="auto"/>
        </w:rPr>
      </w:pPr>
    </w:p>
    <w:p>
      <w:pPr>
        <w:spacing w:after="0"/>
        <w:rPr>
          <w:sz w:val="20"/>
          <w:szCs w:val="20"/>
          <w:color w:val="auto"/>
        </w:rPr>
      </w:pPr>
      <w:r>
        <w:rPr>
          <w:rFonts w:ascii="Arial" w:cs="Arial" w:eastAsia="Arial" w:hAnsi="Arial"/>
          <w:sz w:val="19"/>
          <w:szCs w:val="19"/>
          <w:color w:val="auto"/>
        </w:rPr>
        <w:t>LifeSci Advisors LLC</w:t>
      </w:r>
    </w:p>
    <w:p>
      <w:pPr>
        <w:spacing w:after="0" w:line="225" w:lineRule="auto"/>
        <w:rPr>
          <w:sz w:val="20"/>
          <w:szCs w:val="20"/>
          <w:color w:val="auto"/>
        </w:rPr>
      </w:pPr>
      <w:r>
        <w:rPr>
          <w:rFonts w:ascii="Arial" w:cs="Arial" w:eastAsia="Arial" w:hAnsi="Arial"/>
          <w:sz w:val="20"/>
          <w:szCs w:val="20"/>
          <w:color w:val="auto"/>
        </w:rPr>
        <w:t>Mary-Ann Chang</w:t>
      </w:r>
    </w:p>
    <w:p>
      <w:pPr>
        <w:spacing w:after="0"/>
        <w:rPr>
          <w:sz w:val="20"/>
          <w:szCs w:val="20"/>
          <w:color w:val="auto"/>
        </w:rPr>
      </w:pPr>
      <w:r>
        <w:rPr>
          <w:rFonts w:ascii="Arial" w:cs="Arial" w:eastAsia="Arial" w:hAnsi="Arial"/>
          <w:sz w:val="20"/>
          <w:szCs w:val="20"/>
          <w:color w:val="auto"/>
        </w:rPr>
        <w:t>Managing Director</w:t>
      </w:r>
    </w:p>
    <w:p>
      <w:pPr>
        <w:spacing w:after="0" w:line="5" w:lineRule="exact"/>
        <w:rPr>
          <w:sz w:val="20"/>
          <w:szCs w:val="20"/>
          <w:color w:val="auto"/>
        </w:rPr>
      </w:pPr>
    </w:p>
    <w:p>
      <w:pPr>
        <w:sectPr>
          <w:pgSz w:w="11900" w:h="16838" w:orient="portrait"/>
          <w:cols w:equalWidth="0" w:num="2">
            <w:col w:w="1960" w:space="720"/>
            <w:col w:w="6339"/>
          </w:cols>
          <w:pgMar w:left="1440" w:top="111" w:right="1440" w:bottom="1440" w:gutter="0" w:footer="0" w:header="0"/>
          <w:type w:val="continuous"/>
        </w:sectPr>
      </w:pPr>
    </w:p>
    <w:p>
      <w:pPr>
        <w:ind w:left="140"/>
        <w:spacing w:after="0"/>
        <w:rPr>
          <w:sz w:val="20"/>
          <w:szCs w:val="20"/>
          <w:color w:val="auto"/>
        </w:rPr>
      </w:pPr>
      <w:r>
        <w:rPr>
          <w:rFonts w:ascii="Arial" w:cs="Arial" w:eastAsia="Arial" w:hAnsi="Arial"/>
          <w:sz w:val="19"/>
          <w:szCs w:val="19"/>
          <w:color w:val="auto"/>
        </w:rPr>
        <w:t>Officer</w:t>
      </w:r>
    </w:p>
    <w:p>
      <w:pPr>
        <w:sectPr>
          <w:pgSz w:w="11900" w:h="16838" w:orient="portrait"/>
          <w:cols w:equalWidth="0" w:num="1">
            <w:col w:w="9019"/>
          </w:cols>
          <w:pgMar w:left="1440" w:top="111" w:right="1440" w:bottom="1440" w:gutter="0" w:footer="0" w:header="0"/>
          <w:type w:val="continuous"/>
        </w:sectPr>
      </w:pPr>
    </w:p>
    <w:p>
      <w:pPr>
        <w:ind w:left="140"/>
        <w:spacing w:after="0" w:line="225" w:lineRule="auto"/>
        <w:rPr>
          <w:sz w:val="20"/>
          <w:szCs w:val="20"/>
          <w:color w:val="auto"/>
        </w:rPr>
      </w:pPr>
      <w:r>
        <w:rPr>
          <w:rFonts w:ascii="Arial" w:cs="Arial" w:eastAsia="Arial" w:hAnsi="Arial"/>
          <w:sz w:val="20"/>
          <w:szCs w:val="20"/>
          <w:color w:val="auto"/>
        </w:rPr>
        <w:t>gvr@evaxion-</w:t>
      </w:r>
    </w:p>
    <w:p>
      <w:pPr>
        <w:spacing w:after="0" w:line="20" w:lineRule="exact"/>
        <w:rPr>
          <w:sz w:val="20"/>
          <w:szCs w:val="20"/>
          <w:color w:val="auto"/>
        </w:rPr>
      </w:pPr>
      <w:r>
        <w:rPr>
          <w:sz w:val="20"/>
          <w:szCs w:val="20"/>
          <w:color w:val="auto"/>
        </w:rPr>
        <w:br w:type="column"/>
      </w:r>
    </w:p>
    <w:p>
      <w:pPr>
        <w:spacing w:after="0" w:line="237" w:lineRule="auto"/>
        <w:rPr>
          <w:sz w:val="20"/>
          <w:szCs w:val="20"/>
          <w:color w:val="auto"/>
        </w:rPr>
      </w:pPr>
      <w:r>
        <w:rPr>
          <w:rFonts w:ascii="Arial" w:cs="Arial" w:eastAsia="Arial" w:hAnsi="Arial"/>
          <w:sz w:val="19"/>
          <w:szCs w:val="19"/>
          <w:color w:val="auto"/>
        </w:rPr>
        <w:t>mchang@lifesciadvisors.com</w:t>
      </w:r>
    </w:p>
    <w:p>
      <w:pPr>
        <w:spacing w:after="0" w:line="1" w:lineRule="exact"/>
        <w:rPr>
          <w:sz w:val="20"/>
          <w:szCs w:val="20"/>
          <w:color w:val="auto"/>
        </w:rPr>
      </w:pPr>
    </w:p>
    <w:p>
      <w:pPr>
        <w:sectPr>
          <w:pgSz w:w="11900" w:h="16838" w:orient="portrait"/>
          <w:cols w:equalWidth="0" w:num="2">
            <w:col w:w="1960" w:space="720"/>
            <w:col w:w="6339"/>
          </w:cols>
          <w:pgMar w:left="1440" w:top="111" w:right="1440" w:bottom="1440" w:gutter="0" w:footer="0" w:header="0"/>
          <w:type w:val="continuous"/>
        </w:sectPr>
      </w:pPr>
    </w:p>
    <w:p>
      <w:pPr>
        <w:ind w:left="140"/>
        <w:spacing w:after="0" w:line="225" w:lineRule="auto"/>
        <w:rPr>
          <w:sz w:val="20"/>
          <w:szCs w:val="20"/>
          <w:color w:val="auto"/>
        </w:rPr>
      </w:pPr>
      <w:r>
        <w:rPr>
          <w:rFonts w:ascii="Arial" w:cs="Arial" w:eastAsia="Arial" w:hAnsi="Arial"/>
          <w:sz w:val="20"/>
          <w:szCs w:val="20"/>
          <w:color w:val="auto"/>
        </w:rPr>
        <w:t>biotech.com</w:t>
      </w:r>
    </w:p>
    <w:p>
      <w:pPr>
        <w:sectPr>
          <w:pgSz w:w="11900" w:h="16838" w:orient="portrait"/>
          <w:cols w:equalWidth="0" w:num="1">
            <w:col w:w="9019"/>
          </w:cols>
          <w:pgMar w:left="1440" w:top="111" w:right="1440" w:bottom="1440" w:gutter="0" w:footer="0" w:header="0"/>
          <w:type w:val="continuous"/>
        </w:sectPr>
      </w:pPr>
    </w:p>
    <w:p>
      <w:pPr>
        <w:ind w:left="140"/>
        <w:spacing w:after="0" w:line="237" w:lineRule="auto"/>
        <w:rPr>
          <w:sz w:val="20"/>
          <w:szCs w:val="20"/>
          <w:color w:val="auto"/>
        </w:rPr>
      </w:pPr>
      <w:r>
        <w:rPr>
          <w:rFonts w:ascii="Arial" w:cs="Arial" w:eastAsia="Arial" w:hAnsi="Arial"/>
          <w:sz w:val="19"/>
          <w:szCs w:val="19"/>
          <w:color w:val="auto"/>
        </w:rPr>
        <w:t>+1 (513) 476-2669</w:t>
      </w:r>
    </w:p>
    <w:p>
      <w:pPr>
        <w:spacing w:after="0" w:line="20" w:lineRule="exact"/>
        <w:rPr>
          <w:sz w:val="20"/>
          <w:szCs w:val="20"/>
          <w:color w:val="auto"/>
        </w:rPr>
      </w:pPr>
      <w:r>
        <w:rPr>
          <w:sz w:val="20"/>
          <w:szCs w:val="20"/>
          <w:color w:val="auto"/>
        </w:rPr>
        <w:br w:type="column"/>
      </w:r>
    </w:p>
    <w:p>
      <w:pPr>
        <w:spacing w:after="0" w:line="237" w:lineRule="auto"/>
        <w:rPr>
          <w:sz w:val="20"/>
          <w:szCs w:val="20"/>
          <w:color w:val="auto"/>
        </w:rPr>
      </w:pPr>
      <w:r>
        <w:rPr>
          <w:rFonts w:ascii="Arial" w:cs="Arial" w:eastAsia="Arial" w:hAnsi="Arial"/>
          <w:sz w:val="19"/>
          <w:szCs w:val="19"/>
          <w:color w:val="auto"/>
        </w:rPr>
        <w:t>+44 7483 284 853</w:t>
      </w:r>
    </w:p>
    <w:p>
      <w:pPr>
        <w:spacing w:after="0" w:line="182" w:lineRule="exact"/>
        <w:rPr>
          <w:sz w:val="20"/>
          <w:szCs w:val="20"/>
          <w:color w:val="auto"/>
        </w:rPr>
      </w:pPr>
    </w:p>
    <w:p>
      <w:pPr>
        <w:sectPr>
          <w:pgSz w:w="11900" w:h="16838" w:orient="portrait"/>
          <w:cols w:equalWidth="0" w:num="2">
            <w:col w:w="1960" w:space="720"/>
            <w:col w:w="6339"/>
          </w:cols>
          <w:pgMar w:left="1440" w:top="111" w:right="1440" w:bottom="1440" w:gutter="0" w:footer="0" w:header="0"/>
          <w:type w:val="continuous"/>
        </w:sectPr>
      </w:pPr>
    </w:p>
    <w:p>
      <w:pPr>
        <w:ind w:left="60"/>
        <w:spacing w:after="0"/>
        <w:rPr>
          <w:sz w:val="20"/>
          <w:szCs w:val="20"/>
          <w:color w:val="auto"/>
        </w:rPr>
      </w:pPr>
      <w:r>
        <w:rPr>
          <w:rFonts w:ascii="Arial" w:cs="Arial" w:eastAsia="Arial" w:hAnsi="Arial"/>
          <w:sz w:val="20"/>
          <w:szCs w:val="20"/>
          <w:color w:val="auto"/>
        </w:rPr>
        <w:t>Source: Evaxion Biotech</w:t>
      </w:r>
    </w:p>
    <w:p>
      <w:pPr>
        <w:spacing w:after="0" w:line="70" w:lineRule="exact"/>
        <w:rPr>
          <w:sz w:val="20"/>
          <w:szCs w:val="20"/>
          <w:color w:val="auto"/>
        </w:rPr>
      </w:pPr>
    </w:p>
    <w:p>
      <w:pPr>
        <w:ind w:left="60"/>
        <w:spacing w:after="0"/>
        <w:rPr>
          <w:sz w:val="20"/>
          <w:szCs w:val="20"/>
          <w:color w:val="auto"/>
        </w:rPr>
      </w:pPr>
      <w:r>
        <w:rPr>
          <w:rFonts w:ascii="Arial" w:cs="Arial" w:eastAsia="Arial" w:hAnsi="Arial"/>
          <w:sz w:val="20"/>
          <w:szCs w:val="20"/>
          <w:b w:val="1"/>
          <w:bCs w:val="1"/>
          <w:color w:val="auto"/>
        </w:rPr>
        <w:t>Forward-looking statement</w:t>
      </w:r>
    </w:p>
    <w:p>
      <w:pPr>
        <w:spacing w:after="0" w:line="118" w:lineRule="exact"/>
        <w:rPr>
          <w:sz w:val="20"/>
          <w:szCs w:val="20"/>
          <w:color w:val="auto"/>
        </w:rPr>
      </w:pPr>
    </w:p>
    <w:p>
      <w:pPr>
        <w:ind w:left="60" w:right="79"/>
        <w:spacing w:after="0" w:line="226" w:lineRule="auto"/>
        <w:rPr>
          <w:sz w:val="20"/>
          <w:szCs w:val="20"/>
          <w:color w:val="auto"/>
        </w:rPr>
      </w:pPr>
      <w:r>
        <w:rPr>
          <w:rFonts w:ascii="Arial" w:cs="Arial" w:eastAsia="Arial" w:hAnsi="Arial"/>
          <w:sz w:val="20"/>
          <w:szCs w:val="20"/>
          <w:color w:val="auto"/>
        </w:rPr>
        <w:t>This announcement contains forward-looking statements that involve substantial risks and uncertainties. All statements, other than statements of historical facts, included in this announcement regarding the Company’s future operations, plans and objectives are forward-looking statements. Although the Company believes its expectations are based on reasonable assumptions, all statements other than statements of historical fact included in this announcement about future events are subject to (i) change without notice and (ii) factors beyond the Company’s control. These statements may include, without limitation, any statements preceded by, followed by, or including words such as “target,” “believe,” “expect,” “hope,” “aim,” “intend,” “may,” “might,” “anticipate,” “contemplate,” “continue,” “estimate,” “plan,” “potential,” “predict,” “project,” “will,” “can have,” “likely,” “should,” “would,” “could”, and other words and terms of similar meaning or the negative thereof. Actual results may differ materially from those indicated by such forward-looking statements as a result of various factors, including but not limited to: risks associated with the Company’s financial condition and need for additional capital; risks associated with the Company’s development work; cost and success of the Company’s product development activities and preclinical and clinical trials; risks related to commercializing any approved pharmaceutical product developed using the Company’s AI platform technology, including the rate and degree of market acceptance of the Company’s product candidates; risks related to the Company’s dependence on third parties including for conduct of clinical testing and product manufacture; risks associated with the Company’s inability to enter into partnerships; risks related to government regulation; risks associated with protection of the Company’s intellectual property rights; risks related to employee matters and managing growth; risks related to the Company’s ADSs and ordinary shares, risks associated with the pandemic caused by the coronavirus known as COVID-19 and other risks and uncertainties affecting the Company’s business operations and financial condition.</w:t>
      </w:r>
    </w:p>
    <w:p>
      <w:pPr>
        <w:spacing w:after="0" w:line="95" w:lineRule="exact"/>
        <w:rPr>
          <w:sz w:val="20"/>
          <w:szCs w:val="20"/>
          <w:color w:val="auto"/>
        </w:rPr>
      </w:pPr>
    </w:p>
    <w:p>
      <w:pPr>
        <w:ind w:left="60" w:right="99"/>
        <w:spacing w:after="0" w:line="227" w:lineRule="auto"/>
        <w:rPr>
          <w:sz w:val="20"/>
          <w:szCs w:val="20"/>
          <w:color w:val="auto"/>
        </w:rPr>
      </w:pPr>
      <w:r>
        <w:rPr>
          <w:rFonts w:ascii="Arial" w:cs="Arial" w:eastAsia="Arial" w:hAnsi="Arial"/>
          <w:sz w:val="20"/>
          <w:szCs w:val="20"/>
          <w:color w:val="auto"/>
        </w:rPr>
        <w:t>Forward-looking statements are subject to inherent risks and uncertainties beyond the Company’s control that could cause the Company’s actual results, performance, or achievements to be materially different from the expected results, performance, or achievements expressed or implied by such forward-looking statements. For a further description of the risks and uncertainties that could cause actual results to differ from those expressed in these forward-looking statements, as well as risks relating to the Company’s business in general, see the risks described in the “Risk Factors” section included in the Company’s Form 20-F for the year ended December 31, 2020 and the Company’s other reports filed with, or submitted to, the U.S. Securities and Exchange Commission (SEC). Any forward-looking statements contained in this announcement speak only as of the date hereof, and except as required by law, the Company assumes no obligation to update these forward-looking statements publicly, or to update the reasons actual results could differ materially from those anticipated in the forward-looking statements, even if new information becomes available in the future.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332740</wp:posOffset>
            </wp:positionV>
            <wp:extent cx="5657850" cy="26035"/>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5657850" cy="26035"/>
                    </a:xfrm>
                    <a:prstGeom prst="rect">
                      <a:avLst/>
                    </a:prstGeom>
                    <a:noFill/>
                  </pic:spPr>
                </pic:pic>
              </a:graphicData>
            </a:graphic>
          </wp:anchor>
        </w:drawing>
      </w:r>
    </w:p>
    <w:p>
      <w:pPr>
        <w:sectPr>
          <w:pgSz w:w="11900" w:h="16838" w:orient="portrait"/>
          <w:cols w:equalWidth="0" w:num="1">
            <w:col w:w="9019"/>
          </w:cols>
          <w:pgMar w:left="1440" w:top="111" w:right="1440" w:bottom="1440" w:gutter="0" w:footer="0" w:header="0"/>
          <w:type w:val="continuous"/>
        </w:sectPr>
      </w:pPr>
    </w:p>
    <w:bookmarkStart w:id="6" w:name="page7"/>
    <w:bookmarkEnd w:id="6"/>
    <w:p>
      <w:pPr>
        <w:jc w:val="center"/>
        <w:ind w:right="19"/>
        <w:spacing w:after="0"/>
        <w:rPr>
          <w:sz w:val="20"/>
          <w:szCs w:val="20"/>
          <w:color w:val="auto"/>
        </w:rPr>
      </w:pPr>
      <w:r>
        <w:rPr>
          <w:rFonts w:ascii="Arial" w:cs="Arial" w:eastAsia="Arial" w:hAnsi="Arial"/>
          <w:sz w:val="20"/>
          <w:szCs w:val="20"/>
          <w:b w:val="1"/>
          <w:bCs w:val="1"/>
          <w:color w:val="auto"/>
        </w:rPr>
        <w:t>Evaxion Biotech A/S</w:t>
      </w:r>
    </w:p>
    <w:p>
      <w:pPr>
        <w:spacing w:after="0" w:line="94" w:lineRule="exact"/>
        <w:rPr>
          <w:sz w:val="20"/>
          <w:szCs w:val="20"/>
          <w:color w:val="auto"/>
        </w:rPr>
      </w:pPr>
    </w:p>
    <w:p>
      <w:pPr>
        <w:jc w:val="center"/>
        <w:ind w:right="19"/>
        <w:spacing w:after="0"/>
        <w:rPr>
          <w:sz w:val="20"/>
          <w:szCs w:val="20"/>
          <w:color w:val="auto"/>
        </w:rPr>
      </w:pPr>
      <w:r>
        <w:rPr>
          <w:rFonts w:ascii="Arial" w:cs="Arial" w:eastAsia="Arial" w:hAnsi="Arial"/>
          <w:sz w:val="20"/>
          <w:szCs w:val="20"/>
          <w:b w:val="1"/>
          <w:bCs w:val="1"/>
          <w:color w:val="auto"/>
        </w:rPr>
        <w:t>Consolidated Statements of Financial Position Data (Unaudited)</w:t>
      </w:r>
    </w:p>
    <w:p>
      <w:pPr>
        <w:spacing w:after="0" w:line="99"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(USD in thousands)</w:t>
      </w:r>
    </w:p>
    <w:p>
      <w:pPr>
        <w:spacing w:after="0" w:line="315" w:lineRule="exact"/>
        <w:rPr>
          <w:sz w:val="20"/>
          <w:szCs w:val="20"/>
          <w:color w:val="auto"/>
        </w:rPr>
      </w:pPr>
    </w:p>
    <w:tbl>
      <w:tblPr>
        <w:tblLayout w:type="fixed"/>
        <w:tblInd w:w="500" w:type="dxa"/>
        <w:tblCellMar>
          <w:top w:w="0" w:type="dxa"/>
          <w:left w:w="0" w:type="dxa"/>
          <w:bottom w:w="0" w:type="dxa"/>
          <w:right w:w="0" w:type="dxa"/>
        </w:tblCellMar>
      </w:tblPr>
      <w:tr>
        <w:trPr>
          <w:trHeight w:val="207"/>
        </w:trPr>
        <w:tc>
          <w:tcPr>
            <w:tcW w:w="4200" w:type="dxa"/>
            <w:vAlign w:val="bottom"/>
          </w:tcPr>
          <w:p>
            <w:pPr>
              <w:spacing w:after="0"/>
              <w:rPr>
                <w:sz w:val="17"/>
                <w:szCs w:val="17"/>
                <w:color w:val="auto"/>
              </w:rPr>
            </w:pPr>
          </w:p>
        </w:tc>
        <w:tc>
          <w:tcPr>
            <w:tcW w:w="3020" w:type="dxa"/>
            <w:vAlign w:val="bottom"/>
            <w:gridSpan w:val="4"/>
          </w:tcPr>
          <w:p>
            <w:pPr>
              <w:ind w:left="1940"/>
              <w:spacing w:after="0"/>
              <w:rPr>
                <w:sz w:val="20"/>
                <w:szCs w:val="20"/>
                <w:color w:val="auto"/>
              </w:rPr>
            </w:pPr>
            <w:r>
              <w:rPr>
                <w:rFonts w:ascii="Arial" w:cs="Arial" w:eastAsia="Arial" w:hAnsi="Arial"/>
                <w:sz w:val="18"/>
                <w:szCs w:val="18"/>
                <w:b w:val="1"/>
                <w:bCs w:val="1"/>
                <w:color w:val="auto"/>
              </w:rPr>
              <w:t>March 31,</w:t>
            </w:r>
          </w:p>
        </w:tc>
        <w:tc>
          <w:tcPr>
            <w:tcW w:w="20" w:type="dxa"/>
            <w:vAlign w:val="bottom"/>
          </w:tcPr>
          <w:p>
            <w:pPr>
              <w:spacing w:after="0"/>
              <w:rPr>
                <w:sz w:val="17"/>
                <w:szCs w:val="17"/>
                <w:color w:val="auto"/>
              </w:rPr>
            </w:pPr>
          </w:p>
        </w:tc>
        <w:tc>
          <w:tcPr>
            <w:tcW w:w="780" w:type="dxa"/>
            <w:vAlign w:val="bottom"/>
            <w:gridSpan w:val="2"/>
          </w:tcPr>
          <w:p>
            <w:pPr>
              <w:jc w:val="right"/>
              <w:spacing w:after="0"/>
              <w:rPr>
                <w:sz w:val="20"/>
                <w:szCs w:val="20"/>
                <w:color w:val="auto"/>
              </w:rPr>
            </w:pPr>
            <w:r>
              <w:rPr>
                <w:rFonts w:ascii="Arial" w:cs="Arial" w:eastAsia="Arial" w:hAnsi="Arial"/>
                <w:sz w:val="18"/>
                <w:szCs w:val="18"/>
                <w:b w:val="1"/>
                <w:bCs w:val="1"/>
                <w:color w:val="auto"/>
              </w:rPr>
              <w:t>Dec 31,</w:t>
            </w:r>
          </w:p>
        </w:tc>
      </w:tr>
      <w:tr>
        <w:trPr>
          <w:trHeight w:val="225"/>
        </w:trPr>
        <w:tc>
          <w:tcPr>
            <w:tcW w:w="4200" w:type="dxa"/>
            <w:vAlign w:val="bottom"/>
            <w:tcBorders>
              <w:bottom w:val="single" w:sz="8" w:color="CCEEFF"/>
            </w:tcBorders>
          </w:tcPr>
          <w:p>
            <w:pPr>
              <w:spacing w:after="0"/>
              <w:rPr>
                <w:sz w:val="19"/>
                <w:szCs w:val="19"/>
                <w:color w:val="auto"/>
              </w:rPr>
            </w:pPr>
          </w:p>
        </w:tc>
        <w:tc>
          <w:tcPr>
            <w:tcW w:w="1960" w:type="dxa"/>
            <w:vAlign w:val="bottom"/>
            <w:tcBorders>
              <w:bottom w:val="single" w:sz="8" w:color="CCEEFF"/>
            </w:tcBorders>
          </w:tcPr>
          <w:p>
            <w:pPr>
              <w:spacing w:after="0"/>
              <w:rPr>
                <w:sz w:val="19"/>
                <w:szCs w:val="19"/>
                <w:color w:val="auto"/>
              </w:rPr>
            </w:pPr>
          </w:p>
        </w:tc>
        <w:tc>
          <w:tcPr>
            <w:tcW w:w="140" w:type="dxa"/>
            <w:vAlign w:val="bottom"/>
            <w:tcBorders>
              <w:bottom w:val="single" w:sz="8" w:color="auto"/>
            </w:tcBorders>
          </w:tcPr>
          <w:p>
            <w:pPr>
              <w:spacing w:after="0"/>
              <w:rPr>
                <w:sz w:val="19"/>
                <w:szCs w:val="19"/>
                <w:color w:val="auto"/>
              </w:rPr>
            </w:pPr>
          </w:p>
        </w:tc>
        <w:tc>
          <w:tcPr>
            <w:tcW w:w="720" w:type="dxa"/>
            <w:vAlign w:val="bottom"/>
            <w:tcBorders>
              <w:bottom w:val="single" w:sz="8" w:color="auto"/>
            </w:tcBorders>
          </w:tcPr>
          <w:p>
            <w:pPr>
              <w:jc w:val="right"/>
              <w:ind w:right="150"/>
              <w:spacing w:after="0"/>
              <w:rPr>
                <w:sz w:val="20"/>
                <w:szCs w:val="20"/>
                <w:color w:val="auto"/>
              </w:rPr>
            </w:pPr>
            <w:r>
              <w:rPr>
                <w:rFonts w:ascii="Arial" w:cs="Arial" w:eastAsia="Arial" w:hAnsi="Arial"/>
                <w:sz w:val="18"/>
                <w:szCs w:val="18"/>
                <w:b w:val="1"/>
                <w:bCs w:val="1"/>
                <w:color w:val="auto"/>
              </w:rPr>
              <w:t>2021</w:t>
            </w:r>
          </w:p>
        </w:tc>
        <w:tc>
          <w:tcPr>
            <w:tcW w:w="200" w:type="dxa"/>
            <w:vAlign w:val="bottom"/>
            <w:tcBorders>
              <w:bottom w:val="single" w:sz="8" w:color="CCEEFF"/>
            </w:tcBorders>
          </w:tcPr>
          <w:p>
            <w:pPr>
              <w:spacing w:after="0"/>
              <w:rPr>
                <w:sz w:val="19"/>
                <w:szCs w:val="19"/>
                <w:color w:val="auto"/>
              </w:rPr>
            </w:pPr>
          </w:p>
        </w:tc>
        <w:tc>
          <w:tcPr>
            <w:tcW w:w="20" w:type="dxa"/>
            <w:vAlign w:val="bottom"/>
            <w:tcBorders>
              <w:bottom w:val="single" w:sz="8" w:color="CCEEFF"/>
            </w:tcBorders>
          </w:tcPr>
          <w:p>
            <w:pPr>
              <w:spacing w:after="0"/>
              <w:rPr>
                <w:sz w:val="19"/>
                <w:szCs w:val="19"/>
                <w:color w:val="auto"/>
              </w:rPr>
            </w:pPr>
          </w:p>
        </w:tc>
        <w:tc>
          <w:tcPr>
            <w:tcW w:w="100" w:type="dxa"/>
            <w:vAlign w:val="bottom"/>
            <w:tcBorders>
              <w:bottom w:val="single" w:sz="8" w:color="auto"/>
            </w:tcBorders>
          </w:tcPr>
          <w:p>
            <w:pPr>
              <w:spacing w:after="0"/>
              <w:rPr>
                <w:sz w:val="19"/>
                <w:szCs w:val="19"/>
                <w:color w:val="auto"/>
              </w:rPr>
            </w:pPr>
          </w:p>
        </w:tc>
        <w:tc>
          <w:tcPr>
            <w:tcW w:w="680" w:type="dxa"/>
            <w:vAlign w:val="bottom"/>
            <w:tcBorders>
              <w:bottom w:val="single" w:sz="8" w:color="auto"/>
            </w:tcBorders>
          </w:tcPr>
          <w:p>
            <w:pPr>
              <w:jc w:val="right"/>
              <w:ind w:right="110"/>
              <w:spacing w:after="0"/>
              <w:rPr>
                <w:sz w:val="20"/>
                <w:szCs w:val="20"/>
                <w:color w:val="auto"/>
              </w:rPr>
            </w:pPr>
            <w:r>
              <w:rPr>
                <w:rFonts w:ascii="Arial" w:cs="Arial" w:eastAsia="Arial" w:hAnsi="Arial"/>
                <w:sz w:val="18"/>
                <w:szCs w:val="18"/>
                <w:b w:val="1"/>
                <w:bCs w:val="1"/>
                <w:color w:val="auto"/>
              </w:rPr>
              <w:t>2020</w:t>
            </w:r>
          </w:p>
        </w:tc>
      </w:tr>
      <w:tr>
        <w:trPr>
          <w:trHeight w:val="250"/>
        </w:trPr>
        <w:tc>
          <w:tcPr>
            <w:tcW w:w="4200" w:type="dxa"/>
            <w:vAlign w:val="bottom"/>
            <w:shd w:val="clear" w:color="auto" w:fill="CCEEFF"/>
          </w:tcPr>
          <w:p>
            <w:pPr>
              <w:ind w:left="100"/>
              <w:spacing w:after="0"/>
              <w:rPr>
                <w:sz w:val="20"/>
                <w:szCs w:val="20"/>
                <w:color w:val="auto"/>
              </w:rPr>
            </w:pPr>
            <w:r>
              <w:rPr>
                <w:rFonts w:ascii="Arial" w:cs="Arial" w:eastAsia="Arial" w:hAnsi="Arial"/>
                <w:sz w:val="18"/>
                <w:szCs w:val="18"/>
                <w:color w:val="auto"/>
              </w:rPr>
              <w:t>Cash and cash equivalents</w:t>
            </w:r>
          </w:p>
        </w:tc>
        <w:tc>
          <w:tcPr>
            <w:tcW w:w="2100" w:type="dxa"/>
            <w:vAlign w:val="bottom"/>
            <w:gridSpan w:val="2"/>
            <w:shd w:val="clear" w:color="auto" w:fill="CCEEFF"/>
          </w:tcPr>
          <w:p>
            <w:pPr>
              <w:ind w:left="1940"/>
              <w:spacing w:after="0"/>
              <w:rPr>
                <w:sz w:val="20"/>
                <w:szCs w:val="20"/>
                <w:color w:val="auto"/>
              </w:rPr>
            </w:pPr>
            <w:r>
              <w:rPr>
                <w:rFonts w:ascii="Arial" w:cs="Arial" w:eastAsia="Arial" w:hAnsi="Arial"/>
                <w:sz w:val="18"/>
                <w:szCs w:val="18"/>
                <w:color w:val="auto"/>
              </w:rPr>
              <w:t>$</w:t>
            </w:r>
          </w:p>
        </w:tc>
        <w:tc>
          <w:tcPr>
            <w:tcW w:w="7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26,955</w:t>
            </w:r>
          </w:p>
        </w:tc>
        <w:tc>
          <w:tcPr>
            <w:tcW w:w="200" w:type="dxa"/>
            <w:vAlign w:val="bottom"/>
            <w:shd w:val="clear" w:color="auto" w:fill="CCEEFF"/>
          </w:tcPr>
          <w:p>
            <w:pPr>
              <w:spacing w:after="0"/>
              <w:rPr>
                <w:sz w:val="21"/>
                <w:szCs w:val="21"/>
                <w:color w:val="auto"/>
              </w:rPr>
            </w:pPr>
          </w:p>
        </w:tc>
        <w:tc>
          <w:tcPr>
            <w:tcW w:w="1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6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5,834</w:t>
            </w:r>
          </w:p>
        </w:tc>
      </w:tr>
      <w:tr>
        <w:trPr>
          <w:trHeight w:val="290"/>
        </w:trPr>
        <w:tc>
          <w:tcPr>
            <w:tcW w:w="4200" w:type="dxa"/>
            <w:vAlign w:val="bottom"/>
            <w:tcBorders>
              <w:bottom w:val="single" w:sz="8" w:color="CCEEFF"/>
            </w:tcBorders>
          </w:tcPr>
          <w:p>
            <w:pPr>
              <w:ind w:left="100"/>
              <w:spacing w:after="0"/>
              <w:rPr>
                <w:sz w:val="20"/>
                <w:szCs w:val="20"/>
                <w:color w:val="auto"/>
              </w:rPr>
            </w:pPr>
            <w:r>
              <w:rPr>
                <w:rFonts w:ascii="Arial" w:cs="Arial" w:eastAsia="Arial" w:hAnsi="Arial"/>
                <w:sz w:val="18"/>
                <w:szCs w:val="18"/>
                <w:color w:val="auto"/>
              </w:rPr>
              <w:t>Total assets</w:t>
            </w:r>
          </w:p>
        </w:tc>
        <w:tc>
          <w:tcPr>
            <w:tcW w:w="1960" w:type="dxa"/>
            <w:vAlign w:val="bottom"/>
            <w:tcBorders>
              <w:bottom w:val="single" w:sz="8" w:color="CCEEFF"/>
            </w:tcBorders>
          </w:tcPr>
          <w:p>
            <w:pPr>
              <w:spacing w:after="0"/>
              <w:rPr>
                <w:sz w:val="24"/>
                <w:szCs w:val="24"/>
                <w:color w:val="auto"/>
              </w:rPr>
            </w:pPr>
          </w:p>
        </w:tc>
        <w:tc>
          <w:tcPr>
            <w:tcW w:w="140" w:type="dxa"/>
            <w:vAlign w:val="bottom"/>
            <w:tcBorders>
              <w:top w:val="single" w:sz="8" w:color="auto"/>
              <w:bottom w:val="single" w:sz="8" w:color="auto"/>
            </w:tcBorders>
          </w:tcPr>
          <w:p>
            <w:pPr>
              <w:spacing w:after="0"/>
              <w:rPr>
                <w:sz w:val="24"/>
                <w:szCs w:val="24"/>
                <w:color w:val="auto"/>
              </w:rPr>
            </w:pPr>
          </w:p>
        </w:tc>
        <w:tc>
          <w:tcPr>
            <w:tcW w:w="7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34,920</w:t>
            </w:r>
          </w:p>
        </w:tc>
        <w:tc>
          <w:tcPr>
            <w:tcW w:w="200" w:type="dxa"/>
            <w:vAlign w:val="bottom"/>
            <w:tcBorders>
              <w:bottom w:val="single" w:sz="8" w:color="CCEEFF"/>
            </w:tcBorders>
          </w:tcPr>
          <w:p>
            <w:pPr>
              <w:spacing w:after="0"/>
              <w:rPr>
                <w:sz w:val="24"/>
                <w:szCs w:val="24"/>
                <w:color w:val="auto"/>
              </w:rPr>
            </w:pPr>
          </w:p>
        </w:tc>
        <w:tc>
          <w:tcPr>
            <w:tcW w:w="20" w:type="dxa"/>
            <w:vAlign w:val="bottom"/>
            <w:tcBorders>
              <w:bottom w:val="single" w:sz="8" w:color="CCEEFF"/>
            </w:tcBorders>
          </w:tcPr>
          <w:p>
            <w:pPr>
              <w:spacing w:after="0"/>
              <w:rPr>
                <w:sz w:val="24"/>
                <w:szCs w:val="24"/>
                <w:color w:val="auto"/>
              </w:rPr>
            </w:pPr>
          </w:p>
        </w:tc>
        <w:tc>
          <w:tcPr>
            <w:tcW w:w="100" w:type="dxa"/>
            <w:vAlign w:val="bottom"/>
            <w:tcBorders>
              <w:top w:val="single" w:sz="8" w:color="auto"/>
              <w:bottom w:val="single" w:sz="8" w:color="auto"/>
            </w:tcBorders>
          </w:tcPr>
          <w:p>
            <w:pPr>
              <w:spacing w:after="0"/>
              <w:rPr>
                <w:sz w:val="24"/>
                <w:szCs w:val="24"/>
                <w:color w:val="auto"/>
              </w:rPr>
            </w:pPr>
          </w:p>
        </w:tc>
        <w:tc>
          <w:tcPr>
            <w:tcW w:w="6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11,965</w:t>
            </w:r>
          </w:p>
        </w:tc>
      </w:tr>
      <w:tr>
        <w:trPr>
          <w:trHeight w:val="237"/>
        </w:trPr>
        <w:tc>
          <w:tcPr>
            <w:tcW w:w="4200" w:type="dxa"/>
            <w:vAlign w:val="bottom"/>
            <w:shd w:val="clear" w:color="auto" w:fill="CCEEFF"/>
          </w:tcPr>
          <w:p>
            <w:pPr>
              <w:ind w:left="100"/>
              <w:spacing w:after="0"/>
              <w:rPr>
                <w:sz w:val="20"/>
                <w:szCs w:val="20"/>
                <w:color w:val="auto"/>
              </w:rPr>
            </w:pPr>
            <w:r>
              <w:rPr>
                <w:rFonts w:ascii="Arial" w:cs="Arial" w:eastAsia="Arial" w:hAnsi="Arial"/>
                <w:sz w:val="18"/>
                <w:szCs w:val="18"/>
                <w:color w:val="auto"/>
              </w:rPr>
              <w:t>Total liabilities</w:t>
            </w:r>
          </w:p>
        </w:tc>
        <w:tc>
          <w:tcPr>
            <w:tcW w:w="1960" w:type="dxa"/>
            <w:vAlign w:val="bottom"/>
            <w:shd w:val="clear" w:color="auto" w:fill="CCEEFF"/>
          </w:tcPr>
          <w:p>
            <w:pPr>
              <w:spacing w:after="0"/>
              <w:rPr>
                <w:sz w:val="20"/>
                <w:szCs w:val="20"/>
                <w:color w:val="auto"/>
              </w:rPr>
            </w:pPr>
          </w:p>
        </w:tc>
        <w:tc>
          <w:tcPr>
            <w:tcW w:w="140" w:type="dxa"/>
            <w:vAlign w:val="bottom"/>
            <w:tcBorders>
              <w:bottom w:val="single" w:sz="8" w:color="auto"/>
            </w:tcBorders>
            <w:shd w:val="clear" w:color="auto" w:fill="CCEEFF"/>
          </w:tcPr>
          <w:p>
            <w:pPr>
              <w:spacing w:after="0"/>
              <w:rPr>
                <w:sz w:val="20"/>
                <w:szCs w:val="20"/>
                <w:color w:val="auto"/>
              </w:rPr>
            </w:pPr>
          </w:p>
        </w:tc>
        <w:tc>
          <w:tcPr>
            <w:tcW w:w="7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7,121</w:t>
            </w:r>
          </w:p>
        </w:tc>
        <w:tc>
          <w:tcPr>
            <w:tcW w:w="200" w:type="dxa"/>
            <w:vAlign w:val="bottom"/>
            <w:shd w:val="clear" w:color="auto" w:fill="CCEEFF"/>
          </w:tcPr>
          <w:p>
            <w:pPr>
              <w:spacing w:after="0"/>
              <w:rPr>
                <w:sz w:val="20"/>
                <w:szCs w:val="20"/>
                <w:color w:val="auto"/>
              </w:rPr>
            </w:pPr>
          </w:p>
        </w:tc>
        <w:tc>
          <w:tcPr>
            <w:tcW w:w="20" w:type="dxa"/>
            <w:vAlign w:val="bottom"/>
            <w:shd w:val="clear" w:color="auto" w:fill="CCEEFF"/>
          </w:tcPr>
          <w:p>
            <w:pPr>
              <w:spacing w:after="0"/>
              <w:rPr>
                <w:sz w:val="20"/>
                <w:szCs w:val="20"/>
                <w:color w:val="auto"/>
              </w:rPr>
            </w:pPr>
          </w:p>
        </w:tc>
        <w:tc>
          <w:tcPr>
            <w:tcW w:w="100" w:type="dxa"/>
            <w:vAlign w:val="bottom"/>
            <w:tcBorders>
              <w:bottom w:val="single" w:sz="8" w:color="auto"/>
            </w:tcBorders>
            <w:shd w:val="clear" w:color="auto" w:fill="CCEEFF"/>
          </w:tcPr>
          <w:p>
            <w:pPr>
              <w:spacing w:after="0"/>
              <w:rPr>
                <w:sz w:val="20"/>
                <w:szCs w:val="20"/>
                <w:color w:val="auto"/>
              </w:rPr>
            </w:pPr>
          </w:p>
        </w:tc>
        <w:tc>
          <w:tcPr>
            <w:tcW w:w="6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4,927</w:t>
            </w:r>
          </w:p>
        </w:tc>
      </w:tr>
      <w:tr>
        <w:trPr>
          <w:trHeight w:val="250"/>
        </w:trPr>
        <w:tc>
          <w:tcPr>
            <w:tcW w:w="4200" w:type="dxa"/>
            <w:vAlign w:val="bottom"/>
          </w:tcPr>
          <w:p>
            <w:pPr>
              <w:ind w:left="100"/>
              <w:spacing w:after="0"/>
              <w:rPr>
                <w:sz w:val="20"/>
                <w:szCs w:val="20"/>
                <w:color w:val="auto"/>
              </w:rPr>
            </w:pPr>
            <w:r>
              <w:rPr>
                <w:rFonts w:ascii="Arial" w:cs="Arial" w:eastAsia="Arial" w:hAnsi="Arial"/>
                <w:sz w:val="18"/>
                <w:szCs w:val="18"/>
                <w:color w:val="auto"/>
              </w:rPr>
              <w:t>Share capital</w:t>
            </w:r>
          </w:p>
        </w:tc>
        <w:tc>
          <w:tcPr>
            <w:tcW w:w="196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720" w:type="dxa"/>
            <w:vAlign w:val="bottom"/>
          </w:tcPr>
          <w:p>
            <w:pPr>
              <w:jc w:val="right"/>
              <w:spacing w:after="0"/>
              <w:rPr>
                <w:sz w:val="20"/>
                <w:szCs w:val="20"/>
                <w:color w:val="auto"/>
              </w:rPr>
            </w:pPr>
            <w:r>
              <w:rPr>
                <w:rFonts w:ascii="Arial" w:cs="Arial" w:eastAsia="Arial" w:hAnsi="Arial"/>
                <w:sz w:val="18"/>
                <w:szCs w:val="18"/>
                <w:color w:val="auto"/>
              </w:rPr>
              <w:t>3,132</w:t>
            </w:r>
          </w:p>
        </w:tc>
        <w:tc>
          <w:tcPr>
            <w:tcW w:w="20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680" w:type="dxa"/>
            <w:vAlign w:val="bottom"/>
          </w:tcPr>
          <w:p>
            <w:pPr>
              <w:jc w:val="right"/>
              <w:spacing w:after="0"/>
              <w:rPr>
                <w:sz w:val="20"/>
                <w:szCs w:val="20"/>
                <w:color w:val="auto"/>
              </w:rPr>
            </w:pPr>
            <w:r>
              <w:rPr>
                <w:rFonts w:ascii="Arial" w:cs="Arial" w:eastAsia="Arial" w:hAnsi="Arial"/>
                <w:sz w:val="18"/>
                <w:szCs w:val="18"/>
                <w:color w:val="auto"/>
              </w:rPr>
              <w:t>2,648</w:t>
            </w:r>
          </w:p>
        </w:tc>
      </w:tr>
      <w:tr>
        <w:trPr>
          <w:trHeight w:val="257"/>
        </w:trPr>
        <w:tc>
          <w:tcPr>
            <w:tcW w:w="4200" w:type="dxa"/>
            <w:vAlign w:val="bottom"/>
            <w:shd w:val="clear" w:color="auto" w:fill="CCEEFF"/>
          </w:tcPr>
          <w:p>
            <w:pPr>
              <w:ind w:left="100"/>
              <w:spacing w:after="0"/>
              <w:rPr>
                <w:sz w:val="20"/>
                <w:szCs w:val="20"/>
                <w:color w:val="auto"/>
              </w:rPr>
            </w:pPr>
            <w:r>
              <w:rPr>
                <w:rFonts w:ascii="Arial" w:cs="Arial" w:eastAsia="Arial" w:hAnsi="Arial"/>
                <w:sz w:val="18"/>
                <w:szCs w:val="18"/>
                <w:color w:val="auto"/>
              </w:rPr>
              <w:t>Other reserves</w:t>
            </w:r>
          </w:p>
        </w:tc>
        <w:tc>
          <w:tcPr>
            <w:tcW w:w="1960" w:type="dxa"/>
            <w:vAlign w:val="bottom"/>
            <w:shd w:val="clear" w:color="auto" w:fill="CCEEFF"/>
          </w:tcPr>
          <w:p>
            <w:pPr>
              <w:spacing w:after="0"/>
              <w:rPr>
                <w:sz w:val="22"/>
                <w:szCs w:val="22"/>
                <w:color w:val="auto"/>
              </w:rPr>
            </w:pPr>
          </w:p>
        </w:tc>
        <w:tc>
          <w:tcPr>
            <w:tcW w:w="140" w:type="dxa"/>
            <w:vAlign w:val="bottom"/>
            <w:shd w:val="clear" w:color="auto" w:fill="CCEEFF"/>
          </w:tcPr>
          <w:p>
            <w:pPr>
              <w:spacing w:after="0"/>
              <w:rPr>
                <w:sz w:val="22"/>
                <w:szCs w:val="22"/>
                <w:color w:val="auto"/>
              </w:rPr>
            </w:pPr>
          </w:p>
        </w:tc>
        <w:tc>
          <w:tcPr>
            <w:tcW w:w="7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55,745</w:t>
            </w:r>
          </w:p>
        </w:tc>
        <w:tc>
          <w:tcPr>
            <w:tcW w:w="200" w:type="dxa"/>
            <w:vAlign w:val="bottom"/>
            <w:shd w:val="clear" w:color="auto" w:fill="CCEEFF"/>
          </w:tcPr>
          <w:p>
            <w:pPr>
              <w:spacing w:after="0"/>
              <w:rPr>
                <w:sz w:val="22"/>
                <w:szCs w:val="22"/>
                <w:color w:val="auto"/>
              </w:rPr>
            </w:pPr>
          </w:p>
        </w:tc>
        <w:tc>
          <w:tcPr>
            <w:tcW w:w="20" w:type="dxa"/>
            <w:vAlign w:val="bottom"/>
            <w:shd w:val="clear" w:color="auto" w:fill="CCEEFF"/>
          </w:tcPr>
          <w:p>
            <w:pPr>
              <w:spacing w:after="0"/>
              <w:rPr>
                <w:sz w:val="22"/>
                <w:szCs w:val="22"/>
                <w:color w:val="auto"/>
              </w:rPr>
            </w:pPr>
          </w:p>
        </w:tc>
        <w:tc>
          <w:tcPr>
            <w:tcW w:w="100" w:type="dxa"/>
            <w:vAlign w:val="bottom"/>
            <w:shd w:val="clear" w:color="auto" w:fill="CCEEFF"/>
          </w:tcPr>
          <w:p>
            <w:pPr>
              <w:spacing w:after="0"/>
              <w:rPr>
                <w:sz w:val="22"/>
                <w:szCs w:val="22"/>
                <w:color w:val="auto"/>
              </w:rPr>
            </w:pPr>
          </w:p>
        </w:tc>
        <w:tc>
          <w:tcPr>
            <w:tcW w:w="6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31,669</w:t>
            </w:r>
          </w:p>
        </w:tc>
      </w:tr>
      <w:tr>
        <w:trPr>
          <w:trHeight w:val="257"/>
        </w:trPr>
        <w:tc>
          <w:tcPr>
            <w:tcW w:w="4200" w:type="dxa"/>
            <w:vAlign w:val="bottom"/>
            <w:tcBorders>
              <w:bottom w:val="single" w:sz="8" w:color="CCEEFF"/>
            </w:tcBorders>
          </w:tcPr>
          <w:p>
            <w:pPr>
              <w:ind w:left="100"/>
              <w:spacing w:after="0"/>
              <w:rPr>
                <w:sz w:val="20"/>
                <w:szCs w:val="20"/>
                <w:color w:val="auto"/>
              </w:rPr>
            </w:pPr>
            <w:r>
              <w:rPr>
                <w:rFonts w:ascii="Arial" w:cs="Arial" w:eastAsia="Arial" w:hAnsi="Arial"/>
                <w:sz w:val="18"/>
                <w:szCs w:val="18"/>
                <w:color w:val="auto"/>
              </w:rPr>
              <w:t>Accumulated deficit</w:t>
            </w:r>
          </w:p>
        </w:tc>
        <w:tc>
          <w:tcPr>
            <w:tcW w:w="1960" w:type="dxa"/>
            <w:vAlign w:val="bottom"/>
            <w:tcBorders>
              <w:bottom w:val="single" w:sz="8" w:color="CCEEFF"/>
            </w:tcBorders>
          </w:tcPr>
          <w:p>
            <w:pPr>
              <w:spacing w:after="0"/>
              <w:rPr>
                <w:sz w:val="22"/>
                <w:szCs w:val="22"/>
                <w:color w:val="auto"/>
              </w:rPr>
            </w:pPr>
          </w:p>
        </w:tc>
        <w:tc>
          <w:tcPr>
            <w:tcW w:w="140" w:type="dxa"/>
            <w:vAlign w:val="bottom"/>
            <w:tcBorders>
              <w:bottom w:val="single" w:sz="8" w:color="auto"/>
            </w:tcBorders>
          </w:tcPr>
          <w:p>
            <w:pPr>
              <w:spacing w:after="0"/>
              <w:rPr>
                <w:sz w:val="22"/>
                <w:szCs w:val="22"/>
                <w:color w:val="auto"/>
              </w:rPr>
            </w:pPr>
          </w:p>
        </w:tc>
        <w:tc>
          <w:tcPr>
            <w:tcW w:w="7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(31,078)</w:t>
            </w:r>
          </w:p>
        </w:tc>
        <w:tc>
          <w:tcPr>
            <w:tcW w:w="200" w:type="dxa"/>
            <w:vAlign w:val="bottom"/>
            <w:tcBorders>
              <w:bottom w:val="single" w:sz="8" w:color="CCEEFF"/>
            </w:tcBorders>
          </w:tcPr>
          <w:p>
            <w:pPr>
              <w:spacing w:after="0"/>
              <w:rPr>
                <w:sz w:val="22"/>
                <w:szCs w:val="22"/>
                <w:color w:val="auto"/>
              </w:rPr>
            </w:pPr>
          </w:p>
        </w:tc>
        <w:tc>
          <w:tcPr>
            <w:tcW w:w="20" w:type="dxa"/>
            <w:vAlign w:val="bottom"/>
            <w:tcBorders>
              <w:bottom w:val="single" w:sz="8" w:color="CCEEFF"/>
            </w:tcBorders>
          </w:tcPr>
          <w:p>
            <w:pPr>
              <w:spacing w:after="0"/>
              <w:rPr>
                <w:sz w:val="22"/>
                <w:szCs w:val="22"/>
                <w:color w:val="auto"/>
              </w:rPr>
            </w:pPr>
          </w:p>
        </w:tc>
        <w:tc>
          <w:tcPr>
            <w:tcW w:w="100" w:type="dxa"/>
            <w:vAlign w:val="bottom"/>
            <w:tcBorders>
              <w:bottom w:val="single" w:sz="8" w:color="auto"/>
            </w:tcBorders>
          </w:tcPr>
          <w:p>
            <w:pPr>
              <w:spacing w:after="0"/>
              <w:rPr>
                <w:sz w:val="22"/>
                <w:szCs w:val="22"/>
                <w:color w:val="auto"/>
              </w:rPr>
            </w:pPr>
          </w:p>
        </w:tc>
        <w:tc>
          <w:tcPr>
            <w:tcW w:w="6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95"/>
              </w:rPr>
              <w:t>(27,279)</w:t>
            </w:r>
          </w:p>
        </w:tc>
      </w:tr>
      <w:tr>
        <w:trPr>
          <w:trHeight w:val="250"/>
        </w:trPr>
        <w:tc>
          <w:tcPr>
            <w:tcW w:w="4200" w:type="dxa"/>
            <w:vAlign w:val="bottom"/>
            <w:shd w:val="clear" w:color="auto" w:fill="CCEEFF"/>
          </w:tcPr>
          <w:p>
            <w:pPr>
              <w:ind w:left="100"/>
              <w:spacing w:after="0"/>
              <w:rPr>
                <w:sz w:val="20"/>
                <w:szCs w:val="20"/>
                <w:color w:val="auto"/>
              </w:rPr>
            </w:pPr>
            <w:r>
              <w:rPr>
                <w:rFonts w:ascii="Arial" w:cs="Arial" w:eastAsia="Arial" w:hAnsi="Arial"/>
                <w:sz w:val="18"/>
                <w:szCs w:val="18"/>
                <w:color w:val="auto"/>
              </w:rPr>
              <w:t>Total equity</w:t>
            </w:r>
          </w:p>
        </w:tc>
        <w:tc>
          <w:tcPr>
            <w:tcW w:w="1960" w:type="dxa"/>
            <w:vAlign w:val="bottom"/>
            <w:shd w:val="clear" w:color="auto" w:fill="CCEEFF"/>
          </w:tcPr>
          <w:p>
            <w:pPr>
              <w:spacing w:after="0"/>
              <w:rPr>
                <w:sz w:val="21"/>
                <w:szCs w:val="21"/>
                <w:color w:val="auto"/>
              </w:rPr>
            </w:pPr>
          </w:p>
        </w:tc>
        <w:tc>
          <w:tcPr>
            <w:tcW w:w="140" w:type="dxa"/>
            <w:vAlign w:val="bottom"/>
            <w:tcBorders>
              <w:bottom w:val="single" w:sz="8" w:color="auto"/>
            </w:tcBorders>
            <w:shd w:val="clear" w:color="auto" w:fill="CCEEFF"/>
          </w:tcPr>
          <w:p>
            <w:pPr>
              <w:spacing w:after="0"/>
              <w:rPr>
                <w:sz w:val="21"/>
                <w:szCs w:val="21"/>
                <w:color w:val="auto"/>
              </w:rPr>
            </w:pPr>
          </w:p>
        </w:tc>
        <w:tc>
          <w:tcPr>
            <w:tcW w:w="7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27,799</w:t>
            </w:r>
          </w:p>
        </w:tc>
        <w:tc>
          <w:tcPr>
            <w:tcW w:w="200" w:type="dxa"/>
            <w:vAlign w:val="bottom"/>
            <w:shd w:val="clear" w:color="auto" w:fill="CCEEFF"/>
          </w:tcPr>
          <w:p>
            <w:pPr>
              <w:spacing w:after="0"/>
              <w:rPr>
                <w:sz w:val="21"/>
                <w:szCs w:val="21"/>
                <w:color w:val="auto"/>
              </w:rPr>
            </w:pPr>
          </w:p>
        </w:tc>
        <w:tc>
          <w:tcPr>
            <w:tcW w:w="20" w:type="dxa"/>
            <w:vAlign w:val="bottom"/>
            <w:shd w:val="clear" w:color="auto" w:fill="CCEEFF"/>
          </w:tcPr>
          <w:p>
            <w:pPr>
              <w:spacing w:after="0"/>
              <w:rPr>
                <w:sz w:val="21"/>
                <w:szCs w:val="21"/>
                <w:color w:val="auto"/>
              </w:rPr>
            </w:pPr>
          </w:p>
        </w:tc>
        <w:tc>
          <w:tcPr>
            <w:tcW w:w="100" w:type="dxa"/>
            <w:vAlign w:val="bottom"/>
            <w:tcBorders>
              <w:bottom w:val="single" w:sz="8" w:color="auto"/>
            </w:tcBorders>
            <w:shd w:val="clear" w:color="auto" w:fill="CCEEFF"/>
          </w:tcPr>
          <w:p>
            <w:pPr>
              <w:spacing w:after="0"/>
              <w:rPr>
                <w:sz w:val="21"/>
                <w:szCs w:val="21"/>
                <w:color w:val="auto"/>
              </w:rPr>
            </w:pPr>
          </w:p>
        </w:tc>
        <w:tc>
          <w:tcPr>
            <w:tcW w:w="6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7,038</w:t>
            </w:r>
          </w:p>
        </w:tc>
      </w:tr>
      <w:tr>
        <w:trPr>
          <w:trHeight w:val="250"/>
        </w:trPr>
        <w:tc>
          <w:tcPr>
            <w:tcW w:w="4200" w:type="dxa"/>
            <w:vAlign w:val="bottom"/>
          </w:tcPr>
          <w:p>
            <w:pPr>
              <w:ind w:left="100"/>
              <w:spacing w:after="0"/>
              <w:rPr>
                <w:sz w:val="20"/>
                <w:szCs w:val="20"/>
                <w:color w:val="auto"/>
              </w:rPr>
            </w:pPr>
            <w:r>
              <w:rPr>
                <w:rFonts w:ascii="Arial" w:cs="Arial" w:eastAsia="Arial" w:hAnsi="Arial"/>
                <w:sz w:val="18"/>
                <w:szCs w:val="18"/>
                <w:color w:val="auto"/>
              </w:rPr>
              <w:t>Total liabilities and equity</w:t>
            </w:r>
          </w:p>
        </w:tc>
        <w:tc>
          <w:tcPr>
            <w:tcW w:w="2100" w:type="dxa"/>
            <w:vAlign w:val="bottom"/>
            <w:gridSpan w:val="2"/>
          </w:tcPr>
          <w:p>
            <w:pPr>
              <w:ind w:left="1940"/>
              <w:spacing w:after="0"/>
              <w:rPr>
                <w:sz w:val="20"/>
                <w:szCs w:val="20"/>
                <w:color w:val="auto"/>
              </w:rPr>
            </w:pPr>
            <w:r>
              <w:rPr>
                <w:rFonts w:ascii="Arial" w:cs="Arial" w:eastAsia="Arial" w:hAnsi="Arial"/>
                <w:sz w:val="18"/>
                <w:szCs w:val="18"/>
                <w:color w:val="auto"/>
              </w:rPr>
              <w:t>$</w:t>
            </w:r>
          </w:p>
        </w:tc>
        <w:tc>
          <w:tcPr>
            <w:tcW w:w="720" w:type="dxa"/>
            <w:vAlign w:val="bottom"/>
          </w:tcPr>
          <w:p>
            <w:pPr>
              <w:jc w:val="right"/>
              <w:spacing w:after="0"/>
              <w:rPr>
                <w:sz w:val="20"/>
                <w:szCs w:val="20"/>
                <w:color w:val="auto"/>
              </w:rPr>
            </w:pPr>
            <w:r>
              <w:rPr>
                <w:rFonts w:ascii="Arial" w:cs="Arial" w:eastAsia="Arial" w:hAnsi="Arial"/>
                <w:sz w:val="18"/>
                <w:szCs w:val="18"/>
                <w:color w:val="auto"/>
              </w:rPr>
              <w:t>34,920</w:t>
            </w:r>
          </w:p>
        </w:tc>
        <w:tc>
          <w:tcPr>
            <w:tcW w:w="200" w:type="dxa"/>
            <w:vAlign w:val="bottom"/>
          </w:tcPr>
          <w:p>
            <w:pPr>
              <w:spacing w:after="0"/>
              <w:rPr>
                <w:sz w:val="21"/>
                <w:szCs w:val="21"/>
                <w:color w:val="auto"/>
              </w:rPr>
            </w:pPr>
          </w:p>
        </w:tc>
        <w:tc>
          <w:tcPr>
            <w:tcW w:w="120" w:type="dxa"/>
            <w:vAlign w:val="bottom"/>
            <w:gridSpan w:val="2"/>
          </w:tcPr>
          <w:p>
            <w:pPr>
              <w:jc w:val="right"/>
              <w:spacing w:after="0"/>
              <w:rPr>
                <w:sz w:val="20"/>
                <w:szCs w:val="20"/>
                <w:color w:val="auto"/>
              </w:rPr>
            </w:pPr>
            <w:r>
              <w:rPr>
                <w:rFonts w:ascii="Arial" w:cs="Arial" w:eastAsia="Arial" w:hAnsi="Arial"/>
                <w:sz w:val="18"/>
                <w:szCs w:val="18"/>
                <w:color w:val="auto"/>
                <w:w w:val="79"/>
              </w:rPr>
              <w:t>$</w:t>
            </w:r>
          </w:p>
        </w:tc>
        <w:tc>
          <w:tcPr>
            <w:tcW w:w="680" w:type="dxa"/>
            <w:vAlign w:val="bottom"/>
          </w:tcPr>
          <w:p>
            <w:pPr>
              <w:jc w:val="right"/>
              <w:spacing w:after="0"/>
              <w:rPr>
                <w:sz w:val="20"/>
                <w:szCs w:val="20"/>
                <w:color w:val="auto"/>
              </w:rPr>
            </w:pPr>
            <w:r>
              <w:rPr>
                <w:rFonts w:ascii="Arial" w:cs="Arial" w:eastAsia="Arial" w:hAnsi="Arial"/>
                <w:sz w:val="18"/>
                <w:szCs w:val="18"/>
                <w:color w:val="auto"/>
              </w:rPr>
              <w:t>11,965</w:t>
            </w:r>
          </w:p>
        </w:tc>
      </w:tr>
      <w:tr>
        <w:trPr>
          <w:trHeight w:val="20"/>
        </w:trPr>
        <w:tc>
          <w:tcPr>
            <w:tcW w:w="4200" w:type="dxa"/>
            <w:vAlign w:val="bottom"/>
          </w:tcPr>
          <w:p>
            <w:pPr>
              <w:spacing w:after="0" w:line="20" w:lineRule="exact"/>
              <w:rPr>
                <w:sz w:val="1"/>
                <w:szCs w:val="1"/>
                <w:color w:val="auto"/>
              </w:rPr>
            </w:pPr>
          </w:p>
        </w:tc>
        <w:tc>
          <w:tcPr>
            <w:tcW w:w="196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72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0" w:type="dxa"/>
            <w:vAlign w:val="bottom"/>
            <w:tcBorders>
              <w:top w:val="single" w:sz="8" w:color="auto"/>
            </w:tcBorders>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680" w:type="dxa"/>
            <w:vAlign w:val="bottom"/>
            <w:tcBorders>
              <w:top w:val="single" w:sz="8" w:color="auto"/>
              <w:bottom w:val="single" w:sz="8" w:color="auto"/>
            </w:tcBorders>
          </w:tcPr>
          <w:p>
            <w:pPr>
              <w:spacing w:after="0" w:line="20" w:lineRule="exact"/>
              <w:rPr>
                <w:sz w:val="1"/>
                <w:szCs w:val="1"/>
                <w:color w:val="auto"/>
              </w:rPr>
            </w:pPr>
          </w:p>
        </w:tc>
      </w:tr>
    </w:tbl>
    <w:p>
      <w:pPr>
        <w:spacing w:after="0" w:line="175" w:lineRule="exact"/>
        <w:rPr>
          <w:sz w:val="20"/>
          <w:szCs w:val="20"/>
          <w:color w:val="auto"/>
        </w:rPr>
      </w:pPr>
    </w:p>
    <w:p>
      <w:pPr>
        <w:jc w:val="center"/>
        <w:ind w:right="19"/>
        <w:spacing w:after="0"/>
        <w:rPr>
          <w:sz w:val="20"/>
          <w:szCs w:val="20"/>
          <w:color w:val="auto"/>
        </w:rPr>
      </w:pPr>
      <w:r>
        <w:rPr>
          <w:rFonts w:ascii="Arial" w:cs="Arial" w:eastAsia="Arial" w:hAnsi="Arial"/>
          <w:sz w:val="20"/>
          <w:szCs w:val="20"/>
          <w:b w:val="1"/>
          <w:bCs w:val="1"/>
          <w:color w:val="auto"/>
        </w:rPr>
        <w:t>Evaxion Biotech A/S</w:t>
      </w:r>
    </w:p>
    <w:p>
      <w:pPr>
        <w:spacing w:after="0" w:line="94" w:lineRule="exact"/>
        <w:rPr>
          <w:sz w:val="20"/>
          <w:szCs w:val="20"/>
          <w:color w:val="auto"/>
        </w:rPr>
      </w:pPr>
    </w:p>
    <w:p>
      <w:pPr>
        <w:jc w:val="center"/>
        <w:ind w:right="19"/>
        <w:spacing w:after="0"/>
        <w:rPr>
          <w:sz w:val="20"/>
          <w:szCs w:val="20"/>
          <w:color w:val="auto"/>
        </w:rPr>
      </w:pPr>
      <w:r>
        <w:rPr>
          <w:rFonts w:ascii="Arial" w:cs="Arial" w:eastAsia="Arial" w:hAnsi="Arial"/>
          <w:sz w:val="20"/>
          <w:szCs w:val="20"/>
          <w:b w:val="1"/>
          <w:bCs w:val="1"/>
          <w:color w:val="auto"/>
        </w:rPr>
        <w:t>Consolidated Statements of Comprehensive Loss Data (Unaudited)</w:t>
      </w:r>
    </w:p>
    <w:p>
      <w:pPr>
        <w:spacing w:after="0" w:line="99"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(USD in thousands, except per share data)</w:t>
      </w:r>
    </w:p>
    <w:p>
      <w:pPr>
        <w:spacing w:after="0" w:line="320" w:lineRule="exact"/>
        <w:rPr>
          <w:sz w:val="20"/>
          <w:szCs w:val="20"/>
          <w:color w:val="auto"/>
        </w:rPr>
      </w:pPr>
    </w:p>
    <w:tbl>
      <w:tblPr>
        <w:tblLayout w:type="fixed"/>
        <w:tblInd w:w="40" w:type="dxa"/>
        <w:tblCellMar>
          <w:top w:w="0" w:type="dxa"/>
          <w:left w:w="0" w:type="dxa"/>
          <w:bottom w:w="0" w:type="dxa"/>
          <w:right w:w="0" w:type="dxa"/>
        </w:tblCellMar>
      </w:tblPr>
      <w:tr>
        <w:trPr>
          <w:trHeight w:val="225"/>
        </w:trPr>
        <w:tc>
          <w:tcPr>
            <w:tcW w:w="460" w:type="dxa"/>
            <w:vAlign w:val="bottom"/>
          </w:tcPr>
          <w:p>
            <w:pPr>
              <w:spacing w:after="0"/>
              <w:rPr>
                <w:sz w:val="19"/>
                <w:szCs w:val="19"/>
                <w:color w:val="auto"/>
              </w:rPr>
            </w:pPr>
          </w:p>
        </w:tc>
        <w:tc>
          <w:tcPr>
            <w:tcW w:w="552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680" w:type="dxa"/>
            <w:vAlign w:val="bottom"/>
            <w:gridSpan w:val="5"/>
          </w:tcPr>
          <w:p>
            <w:pPr>
              <w:ind w:left="120"/>
              <w:spacing w:after="0"/>
              <w:rPr>
                <w:sz w:val="20"/>
                <w:szCs w:val="20"/>
                <w:color w:val="auto"/>
              </w:rPr>
            </w:pPr>
            <w:r>
              <w:rPr>
                <w:rFonts w:ascii="Arial" w:cs="Arial" w:eastAsia="Arial" w:hAnsi="Arial"/>
                <w:sz w:val="18"/>
                <w:szCs w:val="18"/>
                <w:b w:val="1"/>
                <w:bCs w:val="1"/>
                <w:color w:val="auto"/>
              </w:rPr>
              <w:t>Year Ended March 31,</w:t>
            </w:r>
          </w:p>
        </w:tc>
      </w:tr>
      <w:tr>
        <w:trPr>
          <w:trHeight w:val="196"/>
        </w:trPr>
        <w:tc>
          <w:tcPr>
            <w:tcW w:w="460" w:type="dxa"/>
            <w:vAlign w:val="bottom"/>
          </w:tcPr>
          <w:p>
            <w:pPr>
              <w:spacing w:after="0"/>
              <w:rPr>
                <w:sz w:val="17"/>
                <w:szCs w:val="17"/>
                <w:color w:val="auto"/>
              </w:rPr>
            </w:pPr>
          </w:p>
        </w:tc>
        <w:tc>
          <w:tcPr>
            <w:tcW w:w="5520" w:type="dxa"/>
            <w:vAlign w:val="bottom"/>
            <w:tcBorders>
              <w:bottom w:val="single" w:sz="8" w:color="CCEEFF"/>
            </w:tcBorders>
          </w:tcPr>
          <w:p>
            <w:pPr>
              <w:spacing w:after="0"/>
              <w:rPr>
                <w:sz w:val="17"/>
                <w:szCs w:val="17"/>
                <w:color w:val="auto"/>
              </w:rPr>
            </w:pPr>
          </w:p>
        </w:tc>
        <w:tc>
          <w:tcPr>
            <w:tcW w:w="160" w:type="dxa"/>
            <w:vAlign w:val="bottom"/>
            <w:tcBorders>
              <w:bottom w:val="single" w:sz="8" w:color="CCEEFF"/>
            </w:tcBorders>
          </w:tcPr>
          <w:p>
            <w:pPr>
              <w:spacing w:after="0"/>
              <w:rPr>
                <w:sz w:val="17"/>
                <w:szCs w:val="17"/>
                <w:color w:val="auto"/>
              </w:rPr>
            </w:pPr>
          </w:p>
        </w:tc>
        <w:tc>
          <w:tcPr>
            <w:tcW w:w="100" w:type="dxa"/>
            <w:vAlign w:val="bottom"/>
            <w:tcBorders>
              <w:top w:val="single" w:sz="8" w:color="auto"/>
              <w:bottom w:val="single" w:sz="8" w:color="auto"/>
            </w:tcBorders>
          </w:tcPr>
          <w:p>
            <w:pPr>
              <w:spacing w:after="0"/>
              <w:rPr>
                <w:sz w:val="17"/>
                <w:szCs w:val="17"/>
                <w:color w:val="auto"/>
              </w:rPr>
            </w:pPr>
          </w:p>
        </w:tc>
        <w:tc>
          <w:tcPr>
            <w:tcW w:w="960" w:type="dxa"/>
            <w:vAlign w:val="bottom"/>
            <w:tcBorders>
              <w:top w:val="single" w:sz="8" w:color="auto"/>
              <w:bottom w:val="single" w:sz="8" w:color="auto"/>
            </w:tcBorders>
          </w:tcPr>
          <w:p>
            <w:pPr>
              <w:jc w:val="right"/>
              <w:ind w:right="250"/>
              <w:spacing w:after="0" w:line="196" w:lineRule="exact"/>
              <w:rPr>
                <w:sz w:val="20"/>
                <w:szCs w:val="20"/>
                <w:color w:val="auto"/>
              </w:rPr>
            </w:pPr>
            <w:r>
              <w:rPr>
                <w:rFonts w:ascii="Arial" w:cs="Arial" w:eastAsia="Arial" w:hAnsi="Arial"/>
                <w:sz w:val="18"/>
                <w:szCs w:val="18"/>
                <w:b w:val="1"/>
                <w:bCs w:val="1"/>
                <w:color w:val="auto"/>
              </w:rPr>
              <w:t>2021</w:t>
            </w:r>
          </w:p>
        </w:tc>
        <w:tc>
          <w:tcPr>
            <w:tcW w:w="200" w:type="dxa"/>
            <w:vAlign w:val="bottom"/>
            <w:tcBorders>
              <w:top w:val="single" w:sz="8" w:color="auto"/>
              <w:bottom w:val="single" w:sz="8" w:color="CCEEFF"/>
            </w:tcBorders>
          </w:tcPr>
          <w:p>
            <w:pPr>
              <w:spacing w:after="0"/>
              <w:rPr>
                <w:sz w:val="17"/>
                <w:szCs w:val="17"/>
                <w:color w:val="auto"/>
              </w:rPr>
            </w:pPr>
          </w:p>
        </w:tc>
        <w:tc>
          <w:tcPr>
            <w:tcW w:w="100" w:type="dxa"/>
            <w:vAlign w:val="bottom"/>
            <w:tcBorders>
              <w:top w:val="single" w:sz="8" w:color="auto"/>
              <w:bottom w:val="single" w:sz="8" w:color="auto"/>
            </w:tcBorders>
          </w:tcPr>
          <w:p>
            <w:pPr>
              <w:spacing w:after="0"/>
              <w:rPr>
                <w:sz w:val="17"/>
                <w:szCs w:val="17"/>
                <w:color w:val="auto"/>
              </w:rPr>
            </w:pPr>
          </w:p>
        </w:tc>
        <w:tc>
          <w:tcPr>
            <w:tcW w:w="980" w:type="dxa"/>
            <w:vAlign w:val="bottom"/>
            <w:tcBorders>
              <w:top w:val="single" w:sz="8" w:color="auto"/>
              <w:bottom w:val="single" w:sz="8" w:color="auto"/>
            </w:tcBorders>
          </w:tcPr>
          <w:p>
            <w:pPr>
              <w:jc w:val="right"/>
              <w:ind w:right="250"/>
              <w:spacing w:after="0" w:line="196" w:lineRule="exact"/>
              <w:rPr>
                <w:sz w:val="20"/>
                <w:szCs w:val="20"/>
                <w:color w:val="auto"/>
              </w:rPr>
            </w:pPr>
            <w:r>
              <w:rPr>
                <w:rFonts w:ascii="Arial" w:cs="Arial" w:eastAsia="Arial" w:hAnsi="Arial"/>
                <w:sz w:val="18"/>
                <w:szCs w:val="18"/>
                <w:b w:val="1"/>
                <w:bCs w:val="1"/>
                <w:color w:val="auto"/>
              </w:rPr>
              <w:t>2020</w:t>
            </w:r>
          </w:p>
        </w:tc>
        <w:tc>
          <w:tcPr>
            <w:tcW w:w="440" w:type="dxa"/>
            <w:vAlign w:val="bottom"/>
          </w:tcPr>
          <w:p>
            <w:pPr>
              <w:spacing w:after="0"/>
              <w:rPr>
                <w:sz w:val="17"/>
                <w:szCs w:val="17"/>
                <w:color w:val="auto"/>
              </w:rPr>
            </w:pPr>
          </w:p>
        </w:tc>
      </w:tr>
      <w:tr>
        <w:trPr>
          <w:trHeight w:val="250"/>
        </w:trPr>
        <w:tc>
          <w:tcPr>
            <w:tcW w:w="460" w:type="dxa"/>
            <w:vAlign w:val="bottom"/>
          </w:tcPr>
          <w:p>
            <w:pPr>
              <w:spacing w:after="0"/>
              <w:rPr>
                <w:sz w:val="21"/>
                <w:szCs w:val="21"/>
                <w:color w:val="auto"/>
              </w:rPr>
            </w:pPr>
          </w:p>
        </w:tc>
        <w:tc>
          <w:tcPr>
            <w:tcW w:w="5520" w:type="dxa"/>
            <w:vAlign w:val="bottom"/>
            <w:shd w:val="clear" w:color="auto" w:fill="CCEEFF"/>
          </w:tcPr>
          <w:p>
            <w:pPr>
              <w:ind w:left="100"/>
              <w:spacing w:after="0"/>
              <w:rPr>
                <w:sz w:val="20"/>
                <w:szCs w:val="20"/>
                <w:color w:val="auto"/>
              </w:rPr>
            </w:pPr>
            <w:r>
              <w:rPr>
                <w:rFonts w:ascii="Arial" w:cs="Arial" w:eastAsia="Arial" w:hAnsi="Arial"/>
                <w:sz w:val="18"/>
                <w:szCs w:val="18"/>
                <w:color w:val="auto"/>
              </w:rPr>
              <w:t>Research and development expenses</w:t>
            </w:r>
          </w:p>
        </w:tc>
        <w:tc>
          <w:tcPr>
            <w:tcW w:w="2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9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3,893</w:t>
            </w:r>
          </w:p>
        </w:tc>
        <w:tc>
          <w:tcPr>
            <w:tcW w:w="3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9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2,510</w:t>
            </w:r>
          </w:p>
        </w:tc>
        <w:tc>
          <w:tcPr>
            <w:tcW w:w="440" w:type="dxa"/>
            <w:vAlign w:val="bottom"/>
          </w:tcPr>
          <w:p>
            <w:pPr>
              <w:spacing w:after="0"/>
              <w:rPr>
                <w:sz w:val="21"/>
                <w:szCs w:val="21"/>
                <w:color w:val="auto"/>
              </w:rPr>
            </w:pPr>
          </w:p>
        </w:tc>
      </w:tr>
      <w:tr>
        <w:trPr>
          <w:trHeight w:val="256"/>
        </w:trPr>
        <w:tc>
          <w:tcPr>
            <w:tcW w:w="460" w:type="dxa"/>
            <w:vAlign w:val="bottom"/>
          </w:tcPr>
          <w:p>
            <w:pPr>
              <w:spacing w:after="0"/>
              <w:rPr>
                <w:sz w:val="22"/>
                <w:szCs w:val="22"/>
                <w:color w:val="auto"/>
              </w:rPr>
            </w:pPr>
          </w:p>
        </w:tc>
        <w:tc>
          <w:tcPr>
            <w:tcW w:w="5520" w:type="dxa"/>
            <w:vAlign w:val="bottom"/>
            <w:tcBorders>
              <w:bottom w:val="single" w:sz="8" w:color="CCEEFF"/>
            </w:tcBorders>
          </w:tcPr>
          <w:p>
            <w:pPr>
              <w:ind w:left="100"/>
              <w:spacing w:after="0"/>
              <w:rPr>
                <w:sz w:val="20"/>
                <w:szCs w:val="20"/>
                <w:color w:val="auto"/>
              </w:rPr>
            </w:pPr>
            <w:r>
              <w:rPr>
                <w:rFonts w:ascii="Arial" w:cs="Arial" w:eastAsia="Arial" w:hAnsi="Arial"/>
                <w:sz w:val="18"/>
                <w:szCs w:val="18"/>
                <w:color w:val="auto"/>
              </w:rPr>
              <w:t>General and administrative expenses</w:t>
            </w:r>
          </w:p>
        </w:tc>
        <w:tc>
          <w:tcPr>
            <w:tcW w:w="160" w:type="dxa"/>
            <w:vAlign w:val="bottom"/>
            <w:tcBorders>
              <w:bottom w:val="single" w:sz="8" w:color="CCEEFF"/>
            </w:tcBorders>
          </w:tcPr>
          <w:p>
            <w:pPr>
              <w:spacing w:after="0"/>
              <w:rPr>
                <w:sz w:val="22"/>
                <w:szCs w:val="22"/>
                <w:color w:val="auto"/>
              </w:rPr>
            </w:pPr>
          </w:p>
        </w:tc>
        <w:tc>
          <w:tcPr>
            <w:tcW w:w="100" w:type="dxa"/>
            <w:vAlign w:val="bottom"/>
            <w:tcBorders>
              <w:bottom w:val="single" w:sz="8" w:color="auto"/>
            </w:tcBorders>
          </w:tcPr>
          <w:p>
            <w:pPr>
              <w:spacing w:after="0"/>
              <w:rPr>
                <w:sz w:val="22"/>
                <w:szCs w:val="22"/>
                <w:color w:val="auto"/>
              </w:rPr>
            </w:pPr>
          </w:p>
        </w:tc>
        <w:tc>
          <w:tcPr>
            <w:tcW w:w="9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1,282</w:t>
            </w:r>
          </w:p>
        </w:tc>
        <w:tc>
          <w:tcPr>
            <w:tcW w:w="200" w:type="dxa"/>
            <w:vAlign w:val="bottom"/>
            <w:tcBorders>
              <w:bottom w:val="single" w:sz="8" w:color="CCEEFF"/>
            </w:tcBorders>
          </w:tcPr>
          <w:p>
            <w:pPr>
              <w:spacing w:after="0"/>
              <w:rPr>
                <w:sz w:val="22"/>
                <w:szCs w:val="22"/>
                <w:color w:val="auto"/>
              </w:rPr>
            </w:pPr>
          </w:p>
        </w:tc>
        <w:tc>
          <w:tcPr>
            <w:tcW w:w="100" w:type="dxa"/>
            <w:vAlign w:val="bottom"/>
            <w:tcBorders>
              <w:bottom w:val="single" w:sz="8" w:color="auto"/>
            </w:tcBorders>
          </w:tcPr>
          <w:p>
            <w:pPr>
              <w:spacing w:after="0"/>
              <w:rPr>
                <w:sz w:val="22"/>
                <w:szCs w:val="22"/>
                <w:color w:val="auto"/>
              </w:rPr>
            </w:pPr>
          </w:p>
        </w:tc>
        <w:tc>
          <w:tcPr>
            <w:tcW w:w="9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781</w:t>
            </w:r>
          </w:p>
        </w:tc>
        <w:tc>
          <w:tcPr>
            <w:tcW w:w="440" w:type="dxa"/>
            <w:vAlign w:val="bottom"/>
          </w:tcPr>
          <w:p>
            <w:pPr>
              <w:spacing w:after="0"/>
              <w:rPr>
                <w:sz w:val="22"/>
                <w:szCs w:val="22"/>
                <w:color w:val="auto"/>
              </w:rPr>
            </w:pPr>
          </w:p>
        </w:tc>
      </w:tr>
      <w:tr>
        <w:trPr>
          <w:trHeight w:val="250"/>
        </w:trPr>
        <w:tc>
          <w:tcPr>
            <w:tcW w:w="460" w:type="dxa"/>
            <w:vAlign w:val="bottom"/>
          </w:tcPr>
          <w:p>
            <w:pPr>
              <w:spacing w:after="0"/>
              <w:rPr>
                <w:sz w:val="21"/>
                <w:szCs w:val="21"/>
                <w:color w:val="auto"/>
              </w:rPr>
            </w:pPr>
          </w:p>
        </w:tc>
        <w:tc>
          <w:tcPr>
            <w:tcW w:w="5520" w:type="dxa"/>
            <w:vAlign w:val="bottom"/>
            <w:shd w:val="clear" w:color="auto" w:fill="CCEEFF"/>
          </w:tcPr>
          <w:p>
            <w:pPr>
              <w:ind w:left="100"/>
              <w:spacing w:after="0"/>
              <w:rPr>
                <w:sz w:val="20"/>
                <w:szCs w:val="20"/>
                <w:color w:val="auto"/>
              </w:rPr>
            </w:pPr>
            <w:r>
              <w:rPr>
                <w:rFonts w:ascii="Arial" w:cs="Arial" w:eastAsia="Arial" w:hAnsi="Arial"/>
                <w:sz w:val="18"/>
                <w:szCs w:val="18"/>
                <w:color w:val="auto"/>
              </w:rPr>
              <w:t>Operating loss</w:t>
            </w:r>
          </w:p>
        </w:tc>
        <w:tc>
          <w:tcPr>
            <w:tcW w:w="160" w:type="dxa"/>
            <w:vAlign w:val="bottom"/>
            <w:shd w:val="clear" w:color="auto" w:fill="CCEEFF"/>
          </w:tcPr>
          <w:p>
            <w:pPr>
              <w:spacing w:after="0"/>
              <w:rPr>
                <w:sz w:val="21"/>
                <w:szCs w:val="21"/>
                <w:color w:val="auto"/>
              </w:rPr>
            </w:pPr>
          </w:p>
        </w:tc>
        <w:tc>
          <w:tcPr>
            <w:tcW w:w="100" w:type="dxa"/>
            <w:vAlign w:val="bottom"/>
            <w:shd w:val="clear" w:color="auto" w:fill="CCEEFF"/>
          </w:tcPr>
          <w:p>
            <w:pPr>
              <w:spacing w:after="0"/>
              <w:rPr>
                <w:sz w:val="21"/>
                <w:szCs w:val="21"/>
                <w:color w:val="auto"/>
              </w:rPr>
            </w:pPr>
          </w:p>
        </w:tc>
        <w:tc>
          <w:tcPr>
            <w:tcW w:w="9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(5,175)</w:t>
            </w:r>
          </w:p>
        </w:tc>
        <w:tc>
          <w:tcPr>
            <w:tcW w:w="200" w:type="dxa"/>
            <w:vAlign w:val="bottom"/>
            <w:shd w:val="clear" w:color="auto" w:fill="CCEEFF"/>
          </w:tcPr>
          <w:p>
            <w:pPr>
              <w:spacing w:after="0"/>
              <w:rPr>
                <w:sz w:val="21"/>
                <w:szCs w:val="21"/>
                <w:color w:val="auto"/>
              </w:rPr>
            </w:pPr>
          </w:p>
        </w:tc>
        <w:tc>
          <w:tcPr>
            <w:tcW w:w="100" w:type="dxa"/>
            <w:vAlign w:val="bottom"/>
            <w:shd w:val="clear" w:color="auto" w:fill="CCEEFF"/>
          </w:tcPr>
          <w:p>
            <w:pPr>
              <w:spacing w:after="0"/>
              <w:rPr>
                <w:sz w:val="21"/>
                <w:szCs w:val="21"/>
                <w:color w:val="auto"/>
              </w:rPr>
            </w:pPr>
          </w:p>
        </w:tc>
        <w:tc>
          <w:tcPr>
            <w:tcW w:w="9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(3,291)</w:t>
            </w:r>
          </w:p>
        </w:tc>
        <w:tc>
          <w:tcPr>
            <w:tcW w:w="440" w:type="dxa"/>
            <w:vAlign w:val="bottom"/>
          </w:tcPr>
          <w:p>
            <w:pPr>
              <w:spacing w:after="0"/>
              <w:rPr>
                <w:sz w:val="21"/>
                <w:szCs w:val="21"/>
                <w:color w:val="auto"/>
              </w:rPr>
            </w:pPr>
          </w:p>
        </w:tc>
      </w:tr>
      <w:tr>
        <w:trPr>
          <w:trHeight w:val="257"/>
        </w:trPr>
        <w:tc>
          <w:tcPr>
            <w:tcW w:w="460" w:type="dxa"/>
            <w:vAlign w:val="bottom"/>
          </w:tcPr>
          <w:p>
            <w:pPr>
              <w:spacing w:after="0"/>
              <w:rPr>
                <w:sz w:val="22"/>
                <w:szCs w:val="22"/>
                <w:color w:val="auto"/>
              </w:rPr>
            </w:pPr>
          </w:p>
        </w:tc>
        <w:tc>
          <w:tcPr>
            <w:tcW w:w="5520" w:type="dxa"/>
            <w:vAlign w:val="bottom"/>
          </w:tcPr>
          <w:p>
            <w:pPr>
              <w:ind w:left="100"/>
              <w:spacing w:after="0"/>
              <w:rPr>
                <w:sz w:val="20"/>
                <w:szCs w:val="20"/>
                <w:color w:val="auto"/>
              </w:rPr>
            </w:pPr>
            <w:r>
              <w:rPr>
                <w:rFonts w:ascii="Arial" w:cs="Arial" w:eastAsia="Arial" w:hAnsi="Arial"/>
                <w:sz w:val="18"/>
                <w:szCs w:val="18"/>
                <w:color w:val="auto"/>
              </w:rPr>
              <w:t>Finance income</w:t>
            </w:r>
          </w:p>
        </w:tc>
        <w:tc>
          <w:tcPr>
            <w:tcW w:w="16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960" w:type="dxa"/>
            <w:vAlign w:val="bottom"/>
          </w:tcPr>
          <w:p>
            <w:pPr>
              <w:jc w:val="right"/>
              <w:spacing w:after="0"/>
              <w:rPr>
                <w:sz w:val="20"/>
                <w:szCs w:val="20"/>
                <w:color w:val="auto"/>
              </w:rPr>
            </w:pPr>
            <w:r>
              <w:rPr>
                <w:rFonts w:ascii="Arial" w:cs="Arial" w:eastAsia="Arial" w:hAnsi="Arial"/>
                <w:sz w:val="18"/>
                <w:szCs w:val="18"/>
                <w:color w:val="auto"/>
              </w:rPr>
              <w:t>972</w:t>
            </w:r>
          </w:p>
        </w:tc>
        <w:tc>
          <w:tcPr>
            <w:tcW w:w="20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980" w:type="dxa"/>
            <w:vAlign w:val="bottom"/>
          </w:tcPr>
          <w:p>
            <w:pPr>
              <w:jc w:val="right"/>
              <w:spacing w:after="0"/>
              <w:rPr>
                <w:sz w:val="20"/>
                <w:szCs w:val="20"/>
                <w:color w:val="auto"/>
              </w:rPr>
            </w:pPr>
            <w:r>
              <w:rPr>
                <w:rFonts w:ascii="Arial" w:cs="Arial" w:eastAsia="Arial" w:hAnsi="Arial"/>
                <w:sz w:val="18"/>
                <w:szCs w:val="18"/>
                <w:color w:val="auto"/>
              </w:rPr>
              <w:t>16</w:t>
            </w:r>
          </w:p>
        </w:tc>
        <w:tc>
          <w:tcPr>
            <w:tcW w:w="440" w:type="dxa"/>
            <w:vAlign w:val="bottom"/>
          </w:tcPr>
          <w:p>
            <w:pPr>
              <w:spacing w:after="0"/>
              <w:rPr>
                <w:sz w:val="22"/>
                <w:szCs w:val="22"/>
                <w:color w:val="auto"/>
              </w:rPr>
            </w:pPr>
          </w:p>
        </w:tc>
      </w:tr>
      <w:tr>
        <w:trPr>
          <w:trHeight w:val="257"/>
        </w:trPr>
        <w:tc>
          <w:tcPr>
            <w:tcW w:w="460" w:type="dxa"/>
            <w:vAlign w:val="bottom"/>
          </w:tcPr>
          <w:p>
            <w:pPr>
              <w:spacing w:after="0"/>
              <w:rPr>
                <w:sz w:val="22"/>
                <w:szCs w:val="22"/>
                <w:color w:val="auto"/>
              </w:rPr>
            </w:pPr>
          </w:p>
        </w:tc>
        <w:tc>
          <w:tcPr>
            <w:tcW w:w="5520" w:type="dxa"/>
            <w:vAlign w:val="bottom"/>
            <w:shd w:val="clear" w:color="auto" w:fill="CCEEFF"/>
          </w:tcPr>
          <w:p>
            <w:pPr>
              <w:ind w:left="100"/>
              <w:spacing w:after="0"/>
              <w:rPr>
                <w:sz w:val="20"/>
                <w:szCs w:val="20"/>
                <w:color w:val="auto"/>
              </w:rPr>
            </w:pPr>
            <w:r>
              <w:rPr>
                <w:rFonts w:ascii="Arial" w:cs="Arial" w:eastAsia="Arial" w:hAnsi="Arial"/>
                <w:sz w:val="18"/>
                <w:szCs w:val="18"/>
                <w:color w:val="auto"/>
              </w:rPr>
              <w:t>Finance expenses</w:t>
            </w:r>
          </w:p>
        </w:tc>
        <w:tc>
          <w:tcPr>
            <w:tcW w:w="160" w:type="dxa"/>
            <w:vAlign w:val="bottom"/>
            <w:shd w:val="clear" w:color="auto" w:fill="CCEEFF"/>
          </w:tcPr>
          <w:p>
            <w:pPr>
              <w:spacing w:after="0"/>
              <w:rPr>
                <w:sz w:val="22"/>
                <w:szCs w:val="22"/>
                <w:color w:val="auto"/>
              </w:rPr>
            </w:pPr>
          </w:p>
        </w:tc>
        <w:tc>
          <w:tcPr>
            <w:tcW w:w="100" w:type="dxa"/>
            <w:vAlign w:val="bottom"/>
            <w:tcBorders>
              <w:bottom w:val="single" w:sz="8" w:color="auto"/>
            </w:tcBorders>
            <w:shd w:val="clear" w:color="auto" w:fill="CCEEFF"/>
          </w:tcPr>
          <w:p>
            <w:pPr>
              <w:spacing w:after="0"/>
              <w:rPr>
                <w:sz w:val="22"/>
                <w:szCs w:val="22"/>
                <w:color w:val="auto"/>
              </w:rPr>
            </w:pPr>
          </w:p>
        </w:tc>
        <w:tc>
          <w:tcPr>
            <w:tcW w:w="9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(297)</w:t>
            </w:r>
          </w:p>
        </w:tc>
        <w:tc>
          <w:tcPr>
            <w:tcW w:w="200" w:type="dxa"/>
            <w:vAlign w:val="bottom"/>
            <w:shd w:val="clear" w:color="auto" w:fill="CCEEFF"/>
          </w:tcPr>
          <w:p>
            <w:pPr>
              <w:spacing w:after="0"/>
              <w:rPr>
                <w:sz w:val="22"/>
                <w:szCs w:val="22"/>
                <w:color w:val="auto"/>
              </w:rPr>
            </w:pPr>
          </w:p>
        </w:tc>
        <w:tc>
          <w:tcPr>
            <w:tcW w:w="100" w:type="dxa"/>
            <w:vAlign w:val="bottom"/>
            <w:tcBorders>
              <w:bottom w:val="single" w:sz="8" w:color="auto"/>
            </w:tcBorders>
            <w:shd w:val="clear" w:color="auto" w:fill="CCEEFF"/>
          </w:tcPr>
          <w:p>
            <w:pPr>
              <w:spacing w:after="0"/>
              <w:rPr>
                <w:sz w:val="22"/>
                <w:szCs w:val="22"/>
                <w:color w:val="auto"/>
              </w:rPr>
            </w:pPr>
          </w:p>
        </w:tc>
        <w:tc>
          <w:tcPr>
            <w:tcW w:w="9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w:t>
            </w:r>
          </w:p>
        </w:tc>
        <w:tc>
          <w:tcPr>
            <w:tcW w:w="440" w:type="dxa"/>
            <w:vAlign w:val="bottom"/>
          </w:tcPr>
          <w:p>
            <w:pPr>
              <w:spacing w:after="0"/>
              <w:rPr>
                <w:sz w:val="22"/>
                <w:szCs w:val="22"/>
                <w:color w:val="auto"/>
              </w:rPr>
            </w:pPr>
          </w:p>
        </w:tc>
      </w:tr>
      <w:tr>
        <w:trPr>
          <w:trHeight w:val="250"/>
        </w:trPr>
        <w:tc>
          <w:tcPr>
            <w:tcW w:w="460" w:type="dxa"/>
            <w:vAlign w:val="bottom"/>
          </w:tcPr>
          <w:p>
            <w:pPr>
              <w:spacing w:after="0"/>
              <w:rPr>
                <w:sz w:val="21"/>
                <w:szCs w:val="21"/>
                <w:color w:val="auto"/>
              </w:rPr>
            </w:pPr>
          </w:p>
        </w:tc>
        <w:tc>
          <w:tcPr>
            <w:tcW w:w="5520" w:type="dxa"/>
            <w:vAlign w:val="bottom"/>
          </w:tcPr>
          <w:p>
            <w:pPr>
              <w:ind w:left="100"/>
              <w:spacing w:after="0"/>
              <w:rPr>
                <w:sz w:val="20"/>
                <w:szCs w:val="20"/>
                <w:color w:val="auto"/>
              </w:rPr>
            </w:pPr>
            <w:r>
              <w:rPr>
                <w:rFonts w:ascii="Arial" w:cs="Arial" w:eastAsia="Arial" w:hAnsi="Arial"/>
                <w:sz w:val="18"/>
                <w:szCs w:val="18"/>
                <w:b w:val="1"/>
                <w:bCs w:val="1"/>
                <w:color w:val="auto"/>
              </w:rPr>
              <w:t>Net loss before tax</w:t>
            </w:r>
          </w:p>
        </w:tc>
        <w:tc>
          <w:tcPr>
            <w:tcW w:w="16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960" w:type="dxa"/>
            <w:vAlign w:val="bottom"/>
          </w:tcPr>
          <w:p>
            <w:pPr>
              <w:jc w:val="right"/>
              <w:spacing w:after="0"/>
              <w:rPr>
                <w:sz w:val="20"/>
                <w:szCs w:val="20"/>
                <w:color w:val="auto"/>
              </w:rPr>
            </w:pPr>
            <w:r>
              <w:rPr>
                <w:rFonts w:ascii="Arial" w:cs="Arial" w:eastAsia="Arial" w:hAnsi="Arial"/>
                <w:sz w:val="18"/>
                <w:szCs w:val="18"/>
                <w:color w:val="auto"/>
              </w:rPr>
              <w:t>(4,500)</w:t>
            </w:r>
          </w:p>
        </w:tc>
        <w:tc>
          <w:tcPr>
            <w:tcW w:w="20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980" w:type="dxa"/>
            <w:vAlign w:val="bottom"/>
          </w:tcPr>
          <w:p>
            <w:pPr>
              <w:jc w:val="right"/>
              <w:spacing w:after="0"/>
              <w:rPr>
                <w:sz w:val="20"/>
                <w:szCs w:val="20"/>
                <w:color w:val="auto"/>
              </w:rPr>
            </w:pPr>
            <w:r>
              <w:rPr>
                <w:rFonts w:ascii="Arial" w:cs="Arial" w:eastAsia="Arial" w:hAnsi="Arial"/>
                <w:sz w:val="18"/>
                <w:szCs w:val="18"/>
                <w:color w:val="auto"/>
              </w:rPr>
              <w:t>(3,279)</w:t>
            </w:r>
          </w:p>
        </w:tc>
        <w:tc>
          <w:tcPr>
            <w:tcW w:w="440" w:type="dxa"/>
            <w:vAlign w:val="bottom"/>
          </w:tcPr>
          <w:p>
            <w:pPr>
              <w:spacing w:after="0"/>
              <w:rPr>
                <w:sz w:val="21"/>
                <w:szCs w:val="21"/>
                <w:color w:val="auto"/>
              </w:rPr>
            </w:pPr>
          </w:p>
        </w:tc>
      </w:tr>
      <w:tr>
        <w:trPr>
          <w:trHeight w:val="256"/>
        </w:trPr>
        <w:tc>
          <w:tcPr>
            <w:tcW w:w="460" w:type="dxa"/>
            <w:vAlign w:val="bottom"/>
          </w:tcPr>
          <w:p>
            <w:pPr>
              <w:spacing w:after="0"/>
              <w:rPr>
                <w:sz w:val="22"/>
                <w:szCs w:val="22"/>
                <w:color w:val="auto"/>
              </w:rPr>
            </w:pPr>
          </w:p>
        </w:tc>
        <w:tc>
          <w:tcPr>
            <w:tcW w:w="5520" w:type="dxa"/>
            <w:vAlign w:val="bottom"/>
            <w:shd w:val="clear" w:color="auto" w:fill="CCEEFF"/>
          </w:tcPr>
          <w:p>
            <w:pPr>
              <w:ind w:left="100"/>
              <w:spacing w:after="0"/>
              <w:rPr>
                <w:sz w:val="20"/>
                <w:szCs w:val="20"/>
                <w:color w:val="auto"/>
              </w:rPr>
            </w:pPr>
            <w:r>
              <w:rPr>
                <w:rFonts w:ascii="Arial" w:cs="Arial" w:eastAsia="Arial" w:hAnsi="Arial"/>
                <w:sz w:val="18"/>
                <w:szCs w:val="18"/>
                <w:color w:val="auto"/>
              </w:rPr>
              <w:t>Income taxes</w:t>
            </w:r>
          </w:p>
        </w:tc>
        <w:tc>
          <w:tcPr>
            <w:tcW w:w="160" w:type="dxa"/>
            <w:vAlign w:val="bottom"/>
            <w:shd w:val="clear" w:color="auto" w:fill="CCEEFF"/>
          </w:tcPr>
          <w:p>
            <w:pPr>
              <w:spacing w:after="0"/>
              <w:rPr>
                <w:sz w:val="22"/>
                <w:szCs w:val="22"/>
                <w:color w:val="auto"/>
              </w:rPr>
            </w:pPr>
          </w:p>
        </w:tc>
        <w:tc>
          <w:tcPr>
            <w:tcW w:w="100" w:type="dxa"/>
            <w:vAlign w:val="bottom"/>
            <w:tcBorders>
              <w:bottom w:val="single" w:sz="8" w:color="auto"/>
            </w:tcBorders>
            <w:shd w:val="clear" w:color="auto" w:fill="CCEEFF"/>
          </w:tcPr>
          <w:p>
            <w:pPr>
              <w:spacing w:after="0"/>
              <w:rPr>
                <w:sz w:val="22"/>
                <w:szCs w:val="22"/>
                <w:color w:val="auto"/>
              </w:rPr>
            </w:pPr>
          </w:p>
        </w:tc>
        <w:tc>
          <w:tcPr>
            <w:tcW w:w="9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407</w:t>
            </w:r>
          </w:p>
        </w:tc>
        <w:tc>
          <w:tcPr>
            <w:tcW w:w="200" w:type="dxa"/>
            <w:vAlign w:val="bottom"/>
            <w:shd w:val="clear" w:color="auto" w:fill="CCEEFF"/>
          </w:tcPr>
          <w:p>
            <w:pPr>
              <w:spacing w:after="0"/>
              <w:rPr>
                <w:sz w:val="22"/>
                <w:szCs w:val="22"/>
                <w:color w:val="auto"/>
              </w:rPr>
            </w:pPr>
          </w:p>
        </w:tc>
        <w:tc>
          <w:tcPr>
            <w:tcW w:w="100" w:type="dxa"/>
            <w:vAlign w:val="bottom"/>
            <w:tcBorders>
              <w:bottom w:val="single" w:sz="8" w:color="auto"/>
            </w:tcBorders>
            <w:shd w:val="clear" w:color="auto" w:fill="CCEEFF"/>
          </w:tcPr>
          <w:p>
            <w:pPr>
              <w:spacing w:after="0"/>
              <w:rPr>
                <w:sz w:val="22"/>
                <w:szCs w:val="22"/>
                <w:color w:val="auto"/>
              </w:rPr>
            </w:pPr>
          </w:p>
        </w:tc>
        <w:tc>
          <w:tcPr>
            <w:tcW w:w="9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180</w:t>
            </w:r>
          </w:p>
        </w:tc>
        <w:tc>
          <w:tcPr>
            <w:tcW w:w="440" w:type="dxa"/>
            <w:vAlign w:val="bottom"/>
          </w:tcPr>
          <w:p>
            <w:pPr>
              <w:spacing w:after="0"/>
              <w:rPr>
                <w:sz w:val="22"/>
                <w:szCs w:val="22"/>
                <w:color w:val="auto"/>
              </w:rPr>
            </w:pPr>
          </w:p>
        </w:tc>
      </w:tr>
      <w:tr>
        <w:trPr>
          <w:trHeight w:val="250"/>
        </w:trPr>
        <w:tc>
          <w:tcPr>
            <w:tcW w:w="460" w:type="dxa"/>
            <w:vAlign w:val="bottom"/>
          </w:tcPr>
          <w:p>
            <w:pPr>
              <w:spacing w:after="0"/>
              <w:rPr>
                <w:sz w:val="21"/>
                <w:szCs w:val="21"/>
                <w:color w:val="auto"/>
              </w:rPr>
            </w:pPr>
          </w:p>
        </w:tc>
        <w:tc>
          <w:tcPr>
            <w:tcW w:w="5520" w:type="dxa"/>
            <w:vAlign w:val="bottom"/>
          </w:tcPr>
          <w:p>
            <w:pPr>
              <w:ind w:left="100"/>
              <w:spacing w:after="0"/>
              <w:rPr>
                <w:sz w:val="20"/>
                <w:szCs w:val="20"/>
                <w:color w:val="auto"/>
              </w:rPr>
            </w:pPr>
            <w:r>
              <w:rPr>
                <w:rFonts w:ascii="Arial" w:cs="Arial" w:eastAsia="Arial" w:hAnsi="Arial"/>
                <w:sz w:val="18"/>
                <w:szCs w:val="18"/>
                <w:b w:val="1"/>
                <w:bCs w:val="1"/>
                <w:color w:val="auto"/>
              </w:rPr>
              <w:t>Net loss for the period</w:t>
            </w:r>
          </w:p>
        </w:tc>
        <w:tc>
          <w:tcPr>
            <w:tcW w:w="26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960" w:type="dxa"/>
            <w:vAlign w:val="bottom"/>
          </w:tcPr>
          <w:p>
            <w:pPr>
              <w:jc w:val="right"/>
              <w:spacing w:after="0"/>
              <w:rPr>
                <w:sz w:val="20"/>
                <w:szCs w:val="20"/>
                <w:color w:val="auto"/>
              </w:rPr>
            </w:pPr>
            <w:r>
              <w:rPr>
                <w:rFonts w:ascii="Arial" w:cs="Arial" w:eastAsia="Arial" w:hAnsi="Arial"/>
                <w:sz w:val="18"/>
                <w:szCs w:val="18"/>
                <w:color w:val="auto"/>
              </w:rPr>
              <w:t>(4,093)</w:t>
            </w:r>
          </w:p>
        </w:tc>
        <w:tc>
          <w:tcPr>
            <w:tcW w:w="30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980" w:type="dxa"/>
            <w:vAlign w:val="bottom"/>
          </w:tcPr>
          <w:p>
            <w:pPr>
              <w:jc w:val="right"/>
              <w:spacing w:after="0"/>
              <w:rPr>
                <w:sz w:val="20"/>
                <w:szCs w:val="20"/>
                <w:color w:val="auto"/>
              </w:rPr>
            </w:pPr>
            <w:r>
              <w:rPr>
                <w:rFonts w:ascii="Arial" w:cs="Arial" w:eastAsia="Arial" w:hAnsi="Arial"/>
                <w:sz w:val="18"/>
                <w:szCs w:val="18"/>
                <w:color w:val="auto"/>
              </w:rPr>
              <w:t>(3,099)</w:t>
            </w:r>
          </w:p>
        </w:tc>
        <w:tc>
          <w:tcPr>
            <w:tcW w:w="440" w:type="dxa"/>
            <w:vAlign w:val="bottom"/>
          </w:tcPr>
          <w:p>
            <w:pPr>
              <w:spacing w:after="0"/>
              <w:rPr>
                <w:sz w:val="21"/>
                <w:szCs w:val="21"/>
                <w:color w:val="auto"/>
              </w:rPr>
            </w:pPr>
          </w:p>
        </w:tc>
      </w:tr>
      <w:tr>
        <w:trPr>
          <w:trHeight w:val="257"/>
        </w:trPr>
        <w:tc>
          <w:tcPr>
            <w:tcW w:w="460" w:type="dxa"/>
            <w:vAlign w:val="bottom"/>
          </w:tcPr>
          <w:p>
            <w:pPr>
              <w:spacing w:after="0"/>
              <w:rPr>
                <w:sz w:val="22"/>
                <w:szCs w:val="22"/>
                <w:color w:val="auto"/>
              </w:rPr>
            </w:pPr>
          </w:p>
        </w:tc>
        <w:tc>
          <w:tcPr>
            <w:tcW w:w="5520" w:type="dxa"/>
            <w:vAlign w:val="bottom"/>
            <w:shd w:val="clear" w:color="auto" w:fill="CCEEFF"/>
          </w:tcPr>
          <w:p>
            <w:pPr>
              <w:ind w:left="100"/>
              <w:spacing w:after="0"/>
              <w:rPr>
                <w:sz w:val="20"/>
                <w:szCs w:val="20"/>
                <w:color w:val="auto"/>
              </w:rPr>
            </w:pPr>
            <w:r>
              <w:rPr>
                <w:rFonts w:ascii="Arial" w:cs="Arial" w:eastAsia="Arial" w:hAnsi="Arial"/>
                <w:sz w:val="18"/>
                <w:szCs w:val="18"/>
                <w:b w:val="1"/>
                <w:bCs w:val="1"/>
                <w:color w:val="auto"/>
              </w:rPr>
              <w:t>Net loss attributable to equity holders of Evaxion Biotech A/S</w:t>
            </w:r>
          </w:p>
        </w:tc>
        <w:tc>
          <w:tcPr>
            <w:tcW w:w="2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9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(4,093)</w:t>
            </w:r>
          </w:p>
        </w:tc>
        <w:tc>
          <w:tcPr>
            <w:tcW w:w="3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9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(3,099)</w:t>
            </w:r>
          </w:p>
        </w:tc>
        <w:tc>
          <w:tcPr>
            <w:tcW w:w="440" w:type="dxa"/>
            <w:vAlign w:val="bottom"/>
          </w:tcPr>
          <w:p>
            <w:pPr>
              <w:spacing w:after="0"/>
              <w:rPr>
                <w:sz w:val="22"/>
                <w:szCs w:val="22"/>
                <w:color w:val="auto"/>
              </w:rPr>
            </w:pPr>
          </w:p>
        </w:tc>
      </w:tr>
      <w:tr>
        <w:trPr>
          <w:trHeight w:val="256"/>
        </w:trPr>
        <w:tc>
          <w:tcPr>
            <w:tcW w:w="460" w:type="dxa"/>
            <w:vAlign w:val="bottom"/>
          </w:tcPr>
          <w:p>
            <w:pPr>
              <w:spacing w:after="0"/>
              <w:rPr>
                <w:sz w:val="22"/>
                <w:szCs w:val="22"/>
                <w:color w:val="auto"/>
              </w:rPr>
            </w:pPr>
          </w:p>
        </w:tc>
        <w:tc>
          <w:tcPr>
            <w:tcW w:w="5520" w:type="dxa"/>
            <w:vAlign w:val="bottom"/>
          </w:tcPr>
          <w:p>
            <w:pPr>
              <w:ind w:left="100"/>
              <w:spacing w:after="0"/>
              <w:rPr>
                <w:sz w:val="20"/>
                <w:szCs w:val="20"/>
                <w:color w:val="auto"/>
              </w:rPr>
            </w:pPr>
            <w:r>
              <w:rPr>
                <w:rFonts w:ascii="Arial" w:cs="Arial" w:eastAsia="Arial" w:hAnsi="Arial"/>
                <w:sz w:val="18"/>
                <w:szCs w:val="18"/>
                <w:b w:val="1"/>
                <w:bCs w:val="1"/>
                <w:color w:val="auto"/>
              </w:rPr>
              <w:t>Loss per share – basic and diluted</w:t>
            </w:r>
          </w:p>
        </w:tc>
        <w:tc>
          <w:tcPr>
            <w:tcW w:w="26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960" w:type="dxa"/>
            <w:vAlign w:val="bottom"/>
          </w:tcPr>
          <w:p>
            <w:pPr>
              <w:jc w:val="right"/>
              <w:spacing w:after="0"/>
              <w:rPr>
                <w:sz w:val="20"/>
                <w:szCs w:val="20"/>
                <w:color w:val="auto"/>
              </w:rPr>
            </w:pPr>
            <w:r>
              <w:rPr>
                <w:rFonts w:ascii="Arial" w:cs="Arial" w:eastAsia="Arial" w:hAnsi="Arial"/>
                <w:sz w:val="18"/>
                <w:szCs w:val="18"/>
                <w:color w:val="auto"/>
              </w:rPr>
              <w:t>(0.23)</w:t>
            </w:r>
          </w:p>
        </w:tc>
        <w:tc>
          <w:tcPr>
            <w:tcW w:w="30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980" w:type="dxa"/>
            <w:vAlign w:val="bottom"/>
          </w:tcPr>
          <w:p>
            <w:pPr>
              <w:jc w:val="right"/>
              <w:spacing w:after="0"/>
              <w:rPr>
                <w:sz w:val="20"/>
                <w:szCs w:val="20"/>
                <w:color w:val="auto"/>
              </w:rPr>
            </w:pPr>
            <w:r>
              <w:rPr>
                <w:rFonts w:ascii="Arial" w:cs="Arial" w:eastAsia="Arial" w:hAnsi="Arial"/>
                <w:sz w:val="18"/>
                <w:szCs w:val="18"/>
                <w:color w:val="auto"/>
              </w:rPr>
              <w:t>(0.20)</w:t>
            </w:r>
          </w:p>
        </w:tc>
        <w:tc>
          <w:tcPr>
            <w:tcW w:w="440" w:type="dxa"/>
            <w:vAlign w:val="bottom"/>
          </w:tcPr>
          <w:p>
            <w:pPr>
              <w:spacing w:after="0"/>
              <w:rPr>
                <w:sz w:val="22"/>
                <w:szCs w:val="22"/>
                <w:color w:val="auto"/>
              </w:rPr>
            </w:pPr>
          </w:p>
        </w:tc>
      </w:tr>
      <w:tr>
        <w:trPr>
          <w:trHeight w:val="257"/>
        </w:trPr>
        <w:tc>
          <w:tcPr>
            <w:tcW w:w="460" w:type="dxa"/>
            <w:vAlign w:val="bottom"/>
          </w:tcPr>
          <w:p>
            <w:pPr>
              <w:spacing w:after="0"/>
              <w:rPr>
                <w:sz w:val="22"/>
                <w:szCs w:val="22"/>
                <w:color w:val="auto"/>
              </w:rPr>
            </w:pPr>
          </w:p>
        </w:tc>
        <w:tc>
          <w:tcPr>
            <w:tcW w:w="5520" w:type="dxa"/>
            <w:vAlign w:val="bottom"/>
            <w:shd w:val="clear" w:color="auto" w:fill="CCEEFF"/>
          </w:tcPr>
          <w:p>
            <w:pPr>
              <w:ind w:left="100"/>
              <w:spacing w:after="0"/>
              <w:rPr>
                <w:sz w:val="20"/>
                <w:szCs w:val="20"/>
                <w:color w:val="auto"/>
              </w:rPr>
            </w:pPr>
            <w:r>
              <w:rPr>
                <w:rFonts w:ascii="Arial" w:cs="Arial" w:eastAsia="Arial" w:hAnsi="Arial"/>
                <w:sz w:val="18"/>
                <w:szCs w:val="18"/>
                <w:b w:val="1"/>
                <w:bCs w:val="1"/>
                <w:color w:val="auto"/>
              </w:rPr>
              <w:t>Number of shares used for calculation (basic and diluted)</w:t>
            </w:r>
          </w:p>
        </w:tc>
        <w:tc>
          <w:tcPr>
            <w:tcW w:w="160" w:type="dxa"/>
            <w:vAlign w:val="bottom"/>
            <w:shd w:val="clear" w:color="auto" w:fill="CCEEFF"/>
          </w:tcPr>
          <w:p>
            <w:pPr>
              <w:spacing w:after="0"/>
              <w:rPr>
                <w:sz w:val="22"/>
                <w:szCs w:val="22"/>
                <w:color w:val="auto"/>
              </w:rPr>
            </w:pPr>
          </w:p>
        </w:tc>
        <w:tc>
          <w:tcPr>
            <w:tcW w:w="100" w:type="dxa"/>
            <w:vAlign w:val="bottom"/>
            <w:shd w:val="clear" w:color="auto" w:fill="CCEEFF"/>
          </w:tcPr>
          <w:p>
            <w:pPr>
              <w:spacing w:after="0"/>
              <w:rPr>
                <w:sz w:val="22"/>
                <w:szCs w:val="22"/>
                <w:color w:val="auto"/>
              </w:rPr>
            </w:pPr>
          </w:p>
        </w:tc>
        <w:tc>
          <w:tcPr>
            <w:tcW w:w="96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7"/>
              </w:rPr>
              <w:t>17,865,335</w:t>
            </w:r>
          </w:p>
        </w:tc>
        <w:tc>
          <w:tcPr>
            <w:tcW w:w="200" w:type="dxa"/>
            <w:vAlign w:val="bottom"/>
            <w:shd w:val="clear" w:color="auto" w:fill="CCEEFF"/>
          </w:tcPr>
          <w:p>
            <w:pPr>
              <w:spacing w:after="0"/>
              <w:rPr>
                <w:sz w:val="22"/>
                <w:szCs w:val="22"/>
                <w:color w:val="auto"/>
              </w:rPr>
            </w:pPr>
          </w:p>
        </w:tc>
        <w:tc>
          <w:tcPr>
            <w:tcW w:w="100" w:type="dxa"/>
            <w:vAlign w:val="bottom"/>
            <w:shd w:val="clear" w:color="auto" w:fill="CCEEFF"/>
          </w:tcPr>
          <w:p>
            <w:pPr>
              <w:spacing w:after="0"/>
              <w:rPr>
                <w:sz w:val="22"/>
                <w:szCs w:val="22"/>
                <w:color w:val="auto"/>
              </w:rPr>
            </w:pPr>
          </w:p>
        </w:tc>
        <w:tc>
          <w:tcPr>
            <w:tcW w:w="98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9"/>
              </w:rPr>
              <w:t>15,184,152</w:t>
            </w:r>
          </w:p>
        </w:tc>
        <w:tc>
          <w:tcPr>
            <w:tcW w:w="440" w:type="dxa"/>
            <w:vAlign w:val="bottom"/>
          </w:tcPr>
          <w:p>
            <w:pPr>
              <w:spacing w:after="0"/>
              <w:rPr>
                <w:sz w:val="22"/>
                <w:szCs w:val="22"/>
                <w:color w:val="auto"/>
              </w:rPr>
            </w:pPr>
          </w:p>
        </w:tc>
      </w:tr>
      <w:tr>
        <w:trPr>
          <w:trHeight w:val="763"/>
        </w:trPr>
        <w:tc>
          <w:tcPr>
            <w:tcW w:w="460" w:type="dxa"/>
            <w:vAlign w:val="bottom"/>
            <w:tcBorders>
              <w:bottom w:val="single" w:sz="8" w:color="auto"/>
            </w:tcBorders>
          </w:tcPr>
          <w:p>
            <w:pPr>
              <w:spacing w:after="0"/>
              <w:rPr>
                <w:sz w:val="24"/>
                <w:szCs w:val="24"/>
                <w:color w:val="auto"/>
              </w:rPr>
            </w:pPr>
          </w:p>
        </w:tc>
        <w:tc>
          <w:tcPr>
            <w:tcW w:w="5520" w:type="dxa"/>
            <w:vAlign w:val="bottom"/>
            <w:tcBorders>
              <w:bottom w:val="single" w:sz="8" w:color="auto"/>
            </w:tcBorders>
          </w:tcPr>
          <w:p>
            <w:pPr>
              <w:spacing w:after="0"/>
              <w:rPr>
                <w:sz w:val="24"/>
                <w:szCs w:val="24"/>
                <w:color w:val="auto"/>
              </w:rPr>
            </w:pPr>
          </w:p>
        </w:tc>
        <w:tc>
          <w:tcPr>
            <w:tcW w:w="160" w:type="dxa"/>
            <w:vAlign w:val="bottom"/>
            <w:tcBorders>
              <w:bottom w:val="single" w:sz="8" w:color="auto"/>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960" w:type="dxa"/>
            <w:vAlign w:val="bottom"/>
            <w:tcBorders>
              <w:bottom w:val="single" w:sz="8" w:color="auto"/>
            </w:tcBorders>
          </w:tcPr>
          <w:p>
            <w:pPr>
              <w:spacing w:after="0"/>
              <w:rPr>
                <w:sz w:val="24"/>
                <w:szCs w:val="24"/>
                <w:color w:val="auto"/>
              </w:rPr>
            </w:pPr>
          </w:p>
        </w:tc>
        <w:tc>
          <w:tcPr>
            <w:tcW w:w="200" w:type="dxa"/>
            <w:vAlign w:val="bottom"/>
            <w:tcBorders>
              <w:bottom w:val="single" w:sz="8" w:color="auto"/>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980" w:type="dxa"/>
            <w:vAlign w:val="bottom"/>
            <w:tcBorders>
              <w:bottom w:val="single" w:sz="8" w:color="auto"/>
            </w:tcBorders>
          </w:tcPr>
          <w:p>
            <w:pPr>
              <w:spacing w:after="0"/>
              <w:rPr>
                <w:sz w:val="24"/>
                <w:szCs w:val="24"/>
                <w:color w:val="auto"/>
              </w:rPr>
            </w:pPr>
          </w:p>
        </w:tc>
        <w:tc>
          <w:tcPr>
            <w:tcW w:w="440" w:type="dxa"/>
            <w:vAlign w:val="bottom"/>
            <w:tcBorders>
              <w:bottom w:val="single" w:sz="8" w:color="auto"/>
            </w:tcBorders>
          </w:tcPr>
          <w:p>
            <w:pPr>
              <w:spacing w:after="0"/>
              <w:rPr>
                <w:sz w:val="24"/>
                <w:szCs w:val="24"/>
                <w:color w:val="auto"/>
              </w:rPr>
            </w:pPr>
          </w:p>
        </w:tc>
      </w:tr>
    </w:tbl>
    <w:p>
      <w:pPr>
        <w:spacing w:after="0" w:line="1" w:lineRule="exact"/>
        <w:rPr>
          <w:sz w:val="20"/>
          <w:szCs w:val="20"/>
          <w:color w:val="auto"/>
        </w:rPr>
      </w:pPr>
    </w:p>
    <w:sectPr>
      <w:pgSz w:w="11900" w:h="16838" w:orient="portrait"/>
      <w:cols w:equalWidth="0" w:num="1">
        <w:col w:w="9019"/>
      </w:cols>
      <w:pgMar w:left="1440" w:top="111" w:right="1440"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2AE8944A"/>
    <w:multiLevelType w:val="hybridMultilevel"/>
    <w:lvl w:ilvl="0">
      <w:lvlJc w:val="left"/>
      <w:lvlText w:val="●"/>
      <w:numFmt w:val="bullet"/>
      <w:start w:val="1"/>
    </w:lvl>
  </w:abstractNum>
  <w:abstractNum w:abstractNumId="1">
    <w:nsid w:val="625558EC"/>
    <w:multiLevelType w:val="hybridMultilevel"/>
    <w:lvl w:ilvl="0">
      <w:lvlJc w:val="left"/>
      <w:lvlText w:val="●"/>
      <w:numFmt w:val="bullet"/>
      <w:start w:val="1"/>
    </w:lvl>
  </w:abstractNum>
  <w:abstractNum w:abstractNumId="2">
    <w:nsid w:val="238E1F29"/>
    <w:multiLevelType w:val="hybridMultilevel"/>
    <w:lvl w:ilvl="0">
      <w:lvlJc w:val="left"/>
      <w:lvlText w:val="●"/>
      <w:numFmt w:val="bullet"/>
      <w:start w:val="1"/>
    </w:lvl>
  </w:abstractNum>
  <w:abstractNum w:abstractNumId="3">
    <w:nsid w:val="46E87CCD"/>
    <w:multiLevelType w:val="hybridMultilevel"/>
    <w:lvl w:ilvl="0">
      <w:lvlJc w:val="left"/>
      <w:lvlText w:val="●"/>
      <w:numFmt w:val="bullet"/>
      <w:start w:val="1"/>
    </w:lvl>
  </w:abstractNum>
  <w:abstractNum w:abstractNumId="4">
    <w:nsid w:val="3D1B58BA"/>
    <w:multiLevelType w:val="hybridMultilevel"/>
    <w:lvl w:ilvl="0">
      <w:lvlJc w:val="left"/>
      <w:lvlText w:val="●"/>
      <w:numFmt w:val="bullet"/>
      <w:start w:val="1"/>
    </w:lvl>
  </w:abstractNum>
  <w:abstractNum w:abstractNumId="5">
    <w:nsid w:val="507ED7AB"/>
    <w:multiLevelType w:val="hybridMultilevel"/>
    <w:lvl w:ilvl="0">
      <w:lvlJc w:val="left"/>
      <w:lvlText w:val="●"/>
      <w:numFmt w:val="bullet"/>
      <w:start w:val="1"/>
    </w:lvl>
  </w:abstractNum>
  <w:num w:numId="1">
    <w:abstractNumId w:val="0"/>
  </w:num>
  <w:num w:numId="2">
    <w:abstractNumId w:val="1"/>
  </w:num>
  <w:num w:numId="3">
    <w:abstractNumId w:val="2"/>
  </w:num>
  <w:num w:numId="4">
    <w:abstractNumId w:val="3"/>
  </w:num>
  <w:num w:numId="5">
    <w:abstractNumId w:val="4"/>
  </w:num>
  <w:num w:numId="6">
    <w:abstractNumId w:val="5"/>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jpeg"/><Relationship Id="rId21" Type="http://schemas.openxmlformats.org/officeDocument/2006/relationships/image" Target="media/image14.png"/><Relationship Id="rId22" Type="http://schemas.openxmlformats.org/officeDocument/2006/relationships/image" Target="media/image15.png"/><Relationship Id="rId23" Type="http://schemas.openxmlformats.org/officeDocument/2006/relationships/image" Target="media/image16.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2021-05-13T06:31:30Z</dcterms:created>
  <dcterms:modified xsi:type="dcterms:W3CDTF">2021-05-13T06:31:30Z</dcterms:modified>
</cp:coreProperties>
</file>