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226.htm"/>
      <w:bookmarkStart w:id="1" w:name="ksf6k_1002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 xml:space="preserve">Commission File Number: </w:t>
      </w:r>
      <w:r>
        <w:rPr>
          <w:rStyle w:val="StrongEmphasis"/>
        </w:rPr>
        <w:t>001-39950</w:t>
      </w:r>
    </w:p>
    <w:p>
      <w:pPr>
        <w:pStyle w:val="TextBody"/>
        <w:bidi w:val="0"/>
        <w:jc w:val="center"/>
        <w:rPr/>
      </w:pPr>
      <w:r>
        <w:rPr>
          <w:rStyle w:val="StrongEmphasis"/>
          <w:sz w:val="24"/>
        </w:rPr>
        <w:t>Evaxion A/S</w:t>
      </w:r>
      <w:r>
        <w:rPr/>
        <w:br/>
        <w:t>(Exact Name of Registrant as Specified in Its Charter)</w:t>
      </w:r>
    </w:p>
    <w:p>
      <w:pPr>
        <w:pStyle w:val="TextBody"/>
        <w:bidi w:val="0"/>
        <w:jc w:val="center"/>
        <w:rPr/>
      </w:pPr>
      <w:r>
        <w:rPr>
          <w:rStyle w:val="StrongEmphasis"/>
        </w:rPr>
        <w:t>Dr. Neergaards Vej 5f</w:t>
        <w:br/>
        <w:t>DK-2970 Hoersholm</w:t>
        <w:br/>
        <w:t>Denmark</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INCORPORATION BY REFERENCE</w:t>
      </w:r>
    </w:p>
    <w:p>
      <w:pPr>
        <w:pStyle w:val="TextBody"/>
        <w:bidi w:val="0"/>
        <w:spacing w:before="0" w:after="283"/>
        <w:jc w:val="left"/>
        <w:rPr/>
      </w:pPr>
      <w:r>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283"/>
        <w:jc w:val="left"/>
        <w:rPr/>
      </w:pPr>
      <w:r>
        <w:rPr>
          <w:rStyle w:val="StrongEmphasis"/>
        </w:rPr>
        <w:t>Press Release</w:t>
      </w:r>
    </w:p>
    <w:p>
      <w:pPr>
        <w:pStyle w:val="TextBody"/>
        <w:bidi w:val="0"/>
        <w:spacing w:before="0" w:after="283"/>
        <w:jc w:val="left"/>
        <w:rPr/>
      </w:pPr>
      <w:r>
        <w:rPr/>
        <w:t>On October 2, 2026, Evaxion A/S (the “Company”), a clinical-stage TechBio company specializing in developing AI-Immunology™ powered vaccines, issued a press release titled "Evaxion will present new immune data for personalized cancer vaccine EVX-01 at the SITC 2026 Annual Meeting". A copy of the press release is furnished as Exhibit 99.1 to this report on Form 6-K.</w:t>
      </w:r>
    </w:p>
    <w:p>
      <w:pPr>
        <w:pStyle w:val="TextBody"/>
        <w:bidi w:val="0"/>
        <w:spacing w:before="0" w:after="283"/>
        <w:jc w:val="left"/>
        <w:rPr/>
      </w:pPr>
      <w:r>
        <w:rPr>
          <w:rStyle w:val="StrongEmphasis"/>
        </w:rPr>
        <w:t>Exhibits</w:t>
      </w:r>
    </w:p>
    <w:tbl>
      <w:tblPr>
        <w:tblW w:w="10205" w:type="dxa"/>
        <w:jc w:val="left"/>
        <w:tblInd w:w="0" w:type="dxa"/>
        <w:tblLayout w:type="fixed"/>
        <w:tblCellMar>
          <w:top w:w="0" w:type="dxa"/>
          <w:left w:w="0" w:type="dxa"/>
          <w:bottom w:w="0" w:type="dxa"/>
          <w:right w:w="0" w:type="dxa"/>
        </w:tblCellMar>
      </w:tblPr>
      <w:tblGrid>
        <w:gridCol w:w="1326"/>
        <w:gridCol w:w="279"/>
        <w:gridCol w:w="8600"/>
      </w:tblGrid>
      <w:tr>
        <w:trPr/>
        <w:tc>
          <w:tcPr>
            <w:tcW w:w="1326" w:type="dxa"/>
            <w:tcBorders/>
            <w:vAlign w:val="bottom"/>
          </w:tcPr>
          <w:p>
            <w:pPr>
              <w:pStyle w:val="TableContents"/>
              <w:bidi w:val="0"/>
              <w:spacing w:before="0" w:after="283"/>
              <w:jc w:val="left"/>
              <w:rPr/>
            </w:pPr>
            <w:r>
              <w:rPr>
                <w:rStyle w:val="StrongEmphasis"/>
                <w:sz w:val="20"/>
                <w:u w:val="single"/>
              </w:rPr>
              <w:t>Exhibit Number</w:t>
            </w:r>
          </w:p>
        </w:tc>
        <w:tc>
          <w:tcPr>
            <w:tcW w:w="279" w:type="dxa"/>
            <w:tcBorders/>
            <w:vAlign w:val="center"/>
          </w:tcPr>
          <w:p>
            <w:pPr>
              <w:pStyle w:val="TableContents"/>
              <w:bidi w:val="0"/>
              <w:spacing w:before="0" w:after="283"/>
              <w:jc w:val="left"/>
              <w:rPr/>
            </w:pPr>
            <w:r>
              <w:rPr/>
              <w:t> </w:t>
            </w:r>
          </w:p>
        </w:tc>
        <w:tc>
          <w:tcPr>
            <w:tcW w:w="8600" w:type="dxa"/>
            <w:tcBorders/>
            <w:vAlign w:val="bottom"/>
          </w:tcPr>
          <w:p>
            <w:pPr>
              <w:pStyle w:val="TableContents"/>
              <w:bidi w:val="0"/>
              <w:spacing w:before="0" w:after="283"/>
              <w:jc w:val="left"/>
              <w:rPr/>
            </w:pPr>
            <w:r>
              <w:rPr>
                <w:rStyle w:val="StrongEmphasis"/>
                <w:sz w:val="20"/>
                <w:u w:val="single"/>
              </w:rPr>
              <w:t>Description</w:t>
            </w:r>
          </w:p>
        </w:tc>
      </w:tr>
      <w:tr>
        <w:trPr/>
        <w:tc>
          <w:tcPr>
            <w:tcW w:w="132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r>
              <w:rPr/>
              <w:t> </w:t>
            </w:r>
          </w:p>
        </w:tc>
      </w:tr>
      <w:tr>
        <w:trPr/>
        <w:tc>
          <w:tcPr>
            <w:tcW w:w="1326" w:type="dxa"/>
            <w:tcBorders/>
            <w:vAlign w:val="center"/>
          </w:tcPr>
          <w:p>
            <w:pPr>
              <w:pStyle w:val="TableContents"/>
              <w:bidi w:val="0"/>
              <w:spacing w:before="0" w:after="283"/>
              <w:jc w:val="left"/>
              <w:rPr/>
            </w:pPr>
            <w:hyperlink w:anchor="exh_991.htm">
              <w:r>
                <w:rPr>
                  <w:rStyle w:val="InternetLink"/>
                  <w:sz w:val="20"/>
                </w:rPr>
                <w:t>99.1</w:t>
              </w:r>
            </w:hyperlink>
          </w:p>
        </w:tc>
        <w:tc>
          <w:tcPr>
            <w:tcW w:w="279"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left"/>
              <w:rPr/>
            </w:pPr>
            <w:hyperlink w:anchor="exh_991.htm">
              <w:r>
                <w:rPr>
                  <w:rStyle w:val="InternetLink"/>
                  <w:sz w:val="20"/>
                </w:rPr>
                <w:t>Evaxion will present new immune data for personalized cancer vaccine EVX-01 at the SITC 2026 Annual Meeting</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612"/>
        <w:gridCol w:w="4185"/>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rStyle w:val="StrongEmphasis"/>
                <w:u w:val="single"/>
              </w:rPr>
              <w:t>Evaxion A/S</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2, 2026</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By:</w:t>
            </w:r>
          </w:p>
        </w:tc>
        <w:tc>
          <w:tcPr>
            <w:tcW w:w="4185" w:type="dxa"/>
            <w:tcBorders/>
          </w:tcPr>
          <w:p>
            <w:pPr>
              <w:pStyle w:val="TableContents"/>
              <w:bidi w:val="0"/>
              <w:spacing w:before="0" w:after="283"/>
              <w:jc w:val="left"/>
              <w:rPr>
                <w:u w:val="single"/>
              </w:rPr>
            </w:pPr>
            <w:r>
              <w:rPr>
                <w:u w:val="single"/>
              </w:rPr>
              <w:t>/s/ Helen Tayton-Martin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Helen Tayton-Martin</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Evaxion will present new immune data for personalized cancer vaccine EVX-01 at the SITC 2026 Annual Meeting</w:t>
      </w:r>
    </w:p>
    <w:p>
      <w:pPr>
        <w:pStyle w:val="TextBody"/>
        <w:numPr>
          <w:ilvl w:val="0"/>
          <w:numId w:val="2"/>
        </w:numPr>
        <w:tabs>
          <w:tab w:val="clear" w:pos="1134"/>
          <w:tab w:val="left" w:pos="709" w:leader="none"/>
        </w:tabs>
        <w:bidi w:val="0"/>
        <w:spacing w:before="0" w:after="0"/>
        <w:ind w:left="709" w:hanging="283"/>
        <w:jc w:val="both"/>
        <w:rPr>
          <w:b/>
        </w:rPr>
      </w:pPr>
      <w:r>
        <w:rPr>
          <w:b/>
        </w:rPr>
        <w:t>New immune data from the phase 2 trial with EVX-01 to be presented both in an oral and poster presentation</w:t>
      </w:r>
    </w:p>
    <w:p>
      <w:pPr>
        <w:pStyle w:val="TextBody"/>
        <w:numPr>
          <w:ilvl w:val="0"/>
          <w:numId w:val="2"/>
        </w:numPr>
        <w:tabs>
          <w:tab w:val="clear" w:pos="1134"/>
          <w:tab w:val="left" w:pos="709" w:leader="none"/>
        </w:tabs>
        <w:bidi w:val="0"/>
        <w:ind w:left="709" w:hanging="283"/>
        <w:jc w:val="both"/>
        <w:rPr>
          <w:b/>
        </w:rPr>
      </w:pPr>
      <w:r>
        <w:rPr>
          <w:b/>
        </w:rPr>
        <w:t>New data follows from the three-year clinical update for EVX-01 to be provided at the European Society for Medical Oncology (ESMO) 2026 congress on October 24, 2026</w:t>
      </w:r>
    </w:p>
    <w:p>
      <w:pPr>
        <w:pStyle w:val="TextBody"/>
        <w:bidi w:val="0"/>
        <w:jc w:val="both"/>
        <w:rPr/>
      </w:pPr>
      <w:r>
        <w:rPr/>
        <w:t>COPENHAGEN, Denmark, October 2, 2026 - Evaxion A/S (NASDAQ: EVAX) (“Evaxion”), a clinical-stage TechBio company developing novel immunotherapies with its pioneering AI-Immunology platform, will present new immune data for AI-designed personalized cancer vaccine EVX-01 at the Society for Immunotherapy of Cancer (SITC) 2026 Annual Meeting, taking place in Phoenix, Arizona, November 4-8, 2026.</w:t>
      </w:r>
    </w:p>
    <w:p>
      <w:pPr>
        <w:pStyle w:val="TextBody"/>
        <w:bidi w:val="0"/>
        <w:jc w:val="both"/>
        <w:rPr/>
      </w:pPr>
      <w:r>
        <w:rPr/>
        <w:t>The new data will reflect the systemic immunomodulatory effects of EVX-01 plus pembrolizumab beyond vaccine-specific T-cell responses using comprehensive immune profiling. It will be presented both in an oral and poster presentation at the SITC meeting.</w:t>
      </w:r>
    </w:p>
    <w:p>
      <w:pPr>
        <w:pStyle w:val="TextBody"/>
        <w:bidi w:val="0"/>
        <w:jc w:val="both"/>
        <w:rPr/>
      </w:pPr>
      <w:r>
        <w:rPr/>
        <w:t>The new immune data stems from the phase 2 trial investigating EVX-01 in combination with MSD’s (Merck &amp; Co., Inc., Rahway, NJ, USA) anti-PD-1 therapy, KEYTRUDA® (pembrolizumab) in patients with advanced melanoma. Each patient enrolled in the trial received a unique vaccine designed and manufactured based on their individual biology. KEYTRUDA® is a registered trademark of Merck Sharp &amp; Dohme LLC, a subsidiary of Merck &amp; Co., Inc., Rahway, NJ, USA.</w:t>
      </w:r>
    </w:p>
    <w:p>
      <w:pPr>
        <w:pStyle w:val="TextBody"/>
        <w:bidi w:val="0"/>
        <w:jc w:val="both"/>
        <w:rPr/>
      </w:pPr>
      <w:r>
        <w:rPr/>
        <w:t>The complete three-year clinical data from the phase 2 trial will be presented at the European Society for Medical Oncology (ESMO) 2026 congress on October 24, 2026. Two-year data demonstrated an Objective Response Rate (ORR) of 75% as 12 out of 16 patients had objective clinical responses, with four patients obtaining a complete response. Additionally, a durable clinical benefit was observed as 92% of patients were still responding at two years follow-up and no relapses were observed.</w:t>
      </w:r>
    </w:p>
    <w:p>
      <w:pPr>
        <w:pStyle w:val="TextBody"/>
        <w:bidi w:val="0"/>
        <w:jc w:val="both"/>
        <w:rPr/>
      </w:pPr>
      <w:r>
        <w:rPr/>
        <w:t>In the third year, patients received EVX-01 as stand-alone therapy, meaning the data will offer insight into the vaccine’s effect also when not administered in combination with anti-PD-1 therapy. Further, the data may also provide additional insights into potentially enhanced treatment effects and durability of the EVX-01-induced immune response.</w:t>
      </w:r>
    </w:p>
    <w:p>
      <w:pPr>
        <w:pStyle w:val="TextBody"/>
        <w:bidi w:val="0"/>
        <w:jc w:val="both"/>
        <w:rPr>
          <w:b/>
        </w:rPr>
      </w:pPr>
      <w:r>
        <w:rPr>
          <w:b/>
        </w:rPr>
        <w:t>SITC oral and poster presentation details:</w:t>
      </w:r>
    </w:p>
    <w:p>
      <w:pPr>
        <w:pStyle w:val="TextBody"/>
        <w:numPr>
          <w:ilvl w:val="0"/>
          <w:numId w:val="3"/>
        </w:numPr>
        <w:tabs>
          <w:tab w:val="clear" w:pos="1134"/>
          <w:tab w:val="left" w:pos="709" w:leader="none"/>
        </w:tabs>
        <w:bidi w:val="0"/>
        <w:spacing w:before="0" w:after="0"/>
        <w:ind w:left="709" w:hanging="283"/>
        <w:jc w:val="left"/>
        <w:rPr/>
      </w:pPr>
      <w:r>
        <w:rPr/>
        <w:t>Abstract title: EVX-01 personalized AI-designed vaccine plus pembrolizumab induce neoantigen-specific T-cell responses and systemic immune modulation in advanced melanoma</w:t>
      </w:r>
    </w:p>
    <w:p>
      <w:pPr>
        <w:pStyle w:val="TextBody"/>
        <w:numPr>
          <w:ilvl w:val="0"/>
          <w:numId w:val="3"/>
        </w:numPr>
        <w:tabs>
          <w:tab w:val="clear" w:pos="1134"/>
          <w:tab w:val="left" w:pos="709" w:leader="none"/>
        </w:tabs>
        <w:bidi w:val="0"/>
        <w:ind w:left="709" w:hanging="283"/>
        <w:jc w:val="left"/>
        <w:rPr/>
      </w:pPr>
      <w:r>
        <w:rPr/>
        <w:t>Abstract#: 502</w:t>
      </w:r>
    </w:p>
    <w:p>
      <w:pPr>
        <w:pStyle w:val="TextBody"/>
        <w:bidi w:val="0"/>
        <w:jc w:val="both"/>
        <w:rPr>
          <w:u w:val="single"/>
        </w:rPr>
      </w:pPr>
      <w:r>
        <w:rPr>
          <w:u w:val="single"/>
        </w:rPr>
        <w:t>Oral presentation:</w:t>
      </w:r>
    </w:p>
    <w:p>
      <w:pPr>
        <w:pStyle w:val="TextBody"/>
        <w:numPr>
          <w:ilvl w:val="0"/>
          <w:numId w:val="4"/>
        </w:numPr>
        <w:tabs>
          <w:tab w:val="clear" w:pos="1134"/>
          <w:tab w:val="left" w:pos="709" w:leader="none"/>
        </w:tabs>
        <w:bidi w:val="0"/>
        <w:spacing w:before="0" w:after="0"/>
        <w:ind w:left="709" w:hanging="283"/>
        <w:jc w:val="left"/>
        <w:rPr/>
      </w:pPr>
      <w:r>
        <w:rPr/>
        <w:t>Session: 105b: Rapid Oral - Clinical 1</w:t>
      </w:r>
    </w:p>
    <w:p>
      <w:pPr>
        <w:pStyle w:val="TextBody"/>
        <w:numPr>
          <w:ilvl w:val="0"/>
          <w:numId w:val="4"/>
        </w:numPr>
        <w:tabs>
          <w:tab w:val="clear" w:pos="1134"/>
          <w:tab w:val="left" w:pos="709" w:leader="none"/>
        </w:tabs>
        <w:bidi w:val="0"/>
        <w:spacing w:before="0" w:after="0"/>
        <w:ind w:left="709" w:hanging="283"/>
        <w:jc w:val="left"/>
        <w:rPr/>
      </w:pPr>
      <w:r>
        <w:rPr/>
        <w:t>Location: Phoenix Convention Center, West Building-300 Level – 301BC</w:t>
      </w:r>
    </w:p>
    <w:p>
      <w:pPr>
        <w:pStyle w:val="TextBody"/>
        <w:numPr>
          <w:ilvl w:val="0"/>
          <w:numId w:val="4"/>
        </w:numPr>
        <w:tabs>
          <w:tab w:val="clear" w:pos="1134"/>
          <w:tab w:val="left" w:pos="709" w:leader="none"/>
        </w:tabs>
        <w:bidi w:val="0"/>
        <w:spacing w:before="0" w:after="0"/>
        <w:ind w:left="709" w:hanging="283"/>
        <w:jc w:val="left"/>
        <w:rPr/>
      </w:pPr>
      <w:r>
        <w:rPr/>
        <w:t>Date/Time: Friday, November 6, 2026, 12:30-1:30pm MT / 20:30-21:30 CET       </w:t>
      </w:r>
    </w:p>
    <w:p>
      <w:pPr>
        <w:pStyle w:val="TextBody"/>
        <w:numPr>
          <w:ilvl w:val="0"/>
          <w:numId w:val="4"/>
        </w:numPr>
        <w:tabs>
          <w:tab w:val="clear" w:pos="1134"/>
          <w:tab w:val="left" w:pos="709" w:leader="none"/>
        </w:tabs>
        <w:bidi w:val="0"/>
        <w:ind w:left="709" w:hanging="283"/>
        <w:jc w:val="left"/>
        <w:rPr/>
      </w:pPr>
      <w:r>
        <w:rPr/>
        <w:t>Presenter: Mads Lausen, Senior Scientist at Evaxion</w:t>
      </w:r>
    </w:p>
    <w:p>
      <w:pPr>
        <w:pStyle w:val="TextBody"/>
        <w:bidi w:val="0"/>
        <w:spacing w:before="0" w:after="283"/>
        <w:jc w:val="left"/>
        <w:rPr/>
      </w:pPr>
      <w:r>
        <w:rPr>
          <w:u w:val="single"/>
        </w:rPr>
        <w:t>Poster presentation</w:t>
      </w:r>
      <w:r>
        <w:rPr/>
        <w:t>:</w:t>
      </w:r>
    </w:p>
    <w:p>
      <w:pPr>
        <w:pStyle w:val="TextBody"/>
        <w:numPr>
          <w:ilvl w:val="0"/>
          <w:numId w:val="5"/>
        </w:numPr>
        <w:tabs>
          <w:tab w:val="clear" w:pos="1134"/>
          <w:tab w:val="left" w:pos="709" w:leader="none"/>
        </w:tabs>
        <w:bidi w:val="0"/>
        <w:spacing w:before="0" w:after="0"/>
        <w:ind w:left="709" w:hanging="283"/>
        <w:jc w:val="left"/>
        <w:rPr/>
      </w:pPr>
      <w:r>
        <w:rPr/>
        <w:t>Session: Poster Session</w:t>
      </w:r>
    </w:p>
    <w:p>
      <w:pPr>
        <w:pStyle w:val="TextBody"/>
        <w:numPr>
          <w:ilvl w:val="0"/>
          <w:numId w:val="5"/>
        </w:numPr>
        <w:tabs>
          <w:tab w:val="clear" w:pos="1134"/>
          <w:tab w:val="left" w:pos="709" w:leader="none"/>
        </w:tabs>
        <w:bidi w:val="0"/>
        <w:spacing w:before="0" w:after="0"/>
        <w:ind w:left="709" w:hanging="283"/>
        <w:jc w:val="left"/>
        <w:rPr/>
      </w:pPr>
      <w:r>
        <w:rPr/>
        <w:t>Location: Phoenix Convention Center, North Building -Lower Level - Exhibition Halls 4-6</w:t>
      </w:r>
    </w:p>
    <w:p>
      <w:pPr>
        <w:pStyle w:val="TextBody"/>
        <w:numPr>
          <w:ilvl w:val="0"/>
          <w:numId w:val="5"/>
        </w:numPr>
        <w:tabs>
          <w:tab w:val="clear" w:pos="1134"/>
          <w:tab w:val="left" w:pos="709" w:leader="none"/>
        </w:tabs>
        <w:bidi w:val="0"/>
        <w:spacing w:before="0" w:after="0"/>
        <w:ind w:left="709" w:hanging="283"/>
        <w:jc w:val="left"/>
        <w:rPr/>
      </w:pPr>
      <w:r>
        <w:rPr/>
        <w:t>Date/Time: Saturday, November 7, 2026, 12:30–1:30pm &amp; 6:40–8:10pm MT / 20:30–21:30 CET &amp; 02:40–04:10 CET (Sunday, November 8)</w:t>
      </w:r>
    </w:p>
    <w:p>
      <w:pPr>
        <w:pStyle w:val="TextBody"/>
        <w:numPr>
          <w:ilvl w:val="0"/>
          <w:numId w:val="5"/>
        </w:numPr>
        <w:tabs>
          <w:tab w:val="clear" w:pos="1134"/>
          <w:tab w:val="left" w:pos="709" w:leader="none"/>
        </w:tabs>
        <w:bidi w:val="0"/>
        <w:ind w:left="709" w:hanging="283"/>
        <w:jc w:val="left"/>
        <w:rPr/>
      </w:pPr>
      <w:r>
        <w:rPr/>
        <w:t>Presenter: Mads Lausen, Senior Scientist at Evaxion</w:t>
      </w:r>
    </w:p>
    <w:p>
      <w:pPr>
        <w:pStyle w:val="TextBody"/>
        <w:bidi w:val="0"/>
        <w:jc w:val="both"/>
        <w:rPr/>
      </w:pPr>
      <w:r>
        <w:rPr>
          <w:b/>
        </w:rPr>
        <w:t>About EVX-01</w:t>
      </w:r>
      <w:r>
        <w:rPr/>
        <w:br/>
        <w:t>EVX-01 is a personalized peptide-based cancer vaccine intended for first-line treatment of multiple advanced solid cancer tumors. It is currently being evaluated as a treatment of advanced melanoma and is Evaxion’s lead clinical asset.</w:t>
      </w:r>
    </w:p>
    <w:p>
      <w:pPr>
        <w:pStyle w:val="TextBody"/>
        <w:bidi w:val="0"/>
        <w:jc w:val="both"/>
        <w:rPr/>
      </w:pPr>
      <w:r>
        <w:rPr/>
        <w:t>Designed with our AI-Immunology platform, EVX-01 is tailored to target the unique tumor profile and immune characteristics of each patient. It engages the patient's immune system to fight off cancer by mounting a targeted response against tumor-specific neoantigens.</w:t>
      </w:r>
    </w:p>
    <w:p>
      <w:pPr>
        <w:pStyle w:val="TextBody"/>
        <w:bidi w:val="0"/>
        <w:jc w:val="both"/>
        <w:rPr/>
      </w:pPr>
      <w:r>
        <w:rPr/>
        <w:t>In the phase 2 trial in patients with advanced melanoma (skin cancer), EVX-01 has demonstrated an Objective Response Rate (ORR) of 75% as 12 out of 16 patients had objective clinical responses, with four patients obtaining a complete response. 86% of the EVX-01 neoantigen targets triggered a tumor-specific immune response in the patients.</w:t>
      </w:r>
    </w:p>
    <w:p>
      <w:pPr>
        <w:pStyle w:val="TextBody"/>
        <w:bidi w:val="0"/>
        <w:jc w:val="both"/>
        <w:rPr/>
      </w:pPr>
      <w:r>
        <w:rPr>
          <w:b/>
        </w:rPr>
        <w:t>Contact information</w:t>
      </w:r>
      <w:r>
        <w:rPr/>
        <w:t> </w:t>
        <w:br/>
        <w:t>Evaxion A/S</w:t>
        <w:br/>
        <w:t>Mads Kronborg</w:t>
        <w:br/>
        <w:t>Vice President, Investor Relations &amp; Communication</w:t>
        <w:br/>
        <w:t xml:space="preserve">+45 53 54 82 96 </w:t>
        <w:br/>
        <w:t>mak@evaxion.ai</w:t>
      </w:r>
    </w:p>
    <w:p>
      <w:pPr>
        <w:pStyle w:val="TextBody"/>
        <w:bidi w:val="0"/>
        <w:jc w:val="both"/>
        <w:rPr/>
      </w:pPr>
      <w:r>
        <w:rPr>
          <w:b/>
        </w:rPr>
        <w:t>About Evaxion</w:t>
      </w:r>
      <w:r>
        <w:rPr/>
        <w:t xml:space="preserve"> </w:t>
        <w:br/>
        <w:t>Evaxion is a pioneering clinical-stage TechBio company based upon its proprietary, clinically validated and scalable AI platform, AI-Immunology. The platform harnesses the power of artificial intelligence to decode the human immune system and develop novel immunotherapies for cancer as well as infectious and autoimmune diseases.</w:t>
      </w:r>
    </w:p>
    <w:p>
      <w:pPr>
        <w:pStyle w:val="TextBody"/>
        <w:bidi w:val="0"/>
        <w:jc w:val="both"/>
        <w:rPr/>
      </w:pPr>
      <w:r>
        <w:rPr/>
        <w:t>With AI-Immunology we conduct rapid, efficient and high-quality target discovery, drug design and development. Our team of +40 experts covers the entire value chain from target discovery to clinical development.</w:t>
      </w:r>
    </w:p>
    <w:p>
      <w:pPr>
        <w:pStyle w:val="TextBody"/>
        <w:bidi w:val="0"/>
        <w:jc w:val="both"/>
        <w:rPr/>
      </w:pPr>
      <w:r>
        <w:rPr/>
        <w:t>We have developed a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jc w:val="both"/>
        <w:rPr/>
      </w:pPr>
      <w:r>
        <w:rPr/>
        <w:t>For more information about Evaxion, AI-Immunology and our pipeline, please visit our website. </w:t>
      </w:r>
    </w:p>
    <w:p>
      <w:pPr>
        <w:pStyle w:val="TextBody"/>
        <w:bidi w:val="0"/>
        <w:spacing w:before="0" w:after="283"/>
        <w:jc w:val="both"/>
        <w:rPr/>
      </w:pPr>
      <w:r>
        <w:rPr>
          <w:b/>
        </w:rPr>
        <w:t>Forward-looking statement</w:t>
      </w:r>
      <w:r>
        <w:rPr/>
        <w:t> </w:t>
        <w:b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b/>
        </w:rPr>
        <w:t>www.sec.gov</w:t>
      </w:r>
      <w:r>
        <w:rPr/>
        <w:t>. We do not assume any obligation to update any forward-looking statements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1349</Words>
  <Characters>7777</Characters>
  <CharactersWithSpaces>9101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