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Washington, D.C. 20549</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00" w:right="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For the month of May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001-39950</w:t>
      </w:r>
    </w:p>
    <w:p>
      <w:pPr>
        <w:spacing w:after="0" w:line="206"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Evaxion Biotech</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Dr. Neergaards Vej 5f</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DK-2970 Hoersholm</w:t>
      </w:r>
    </w:p>
    <w:p>
      <w:pPr>
        <w:jc w:val="center"/>
        <w:ind w:right="-179"/>
        <w:spacing w:after="0" w:line="230" w:lineRule="auto"/>
        <w:rPr>
          <w:sz w:val="20"/>
          <w:szCs w:val="20"/>
          <w:color w:val="auto"/>
        </w:rPr>
      </w:pPr>
      <w:r>
        <w:rPr>
          <w:rFonts w:ascii="Arial" w:cs="Arial" w:eastAsia="Arial" w:hAnsi="Arial"/>
          <w:sz w:val="22"/>
          <w:szCs w:val="22"/>
          <w:b w:val="1"/>
          <w:bCs w:val="1"/>
          <w:color w:val="auto"/>
        </w:rPr>
        <w:t>Denmark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6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16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INCORPORATION BY REFERENCE</w:t>
      </w:r>
    </w:p>
    <w:p>
      <w:pPr>
        <w:spacing w:after="0" w:line="212" w:lineRule="exact"/>
        <w:rPr>
          <w:sz w:val="24"/>
          <w:szCs w:val="24"/>
          <w:color w:val="auto"/>
        </w:rPr>
      </w:pPr>
    </w:p>
    <w:p>
      <w:pPr>
        <w:spacing w:after="0" w:line="252" w:lineRule="auto"/>
        <w:rPr>
          <w:sz w:val="20"/>
          <w:szCs w:val="20"/>
          <w:color w:val="auto"/>
        </w:rPr>
      </w:pPr>
      <w:r>
        <w:rPr>
          <w:rFonts w:ascii="Arial" w:cs="Arial" w:eastAsia="Arial" w:hAnsi="Arial"/>
          <w:sz w:val="21"/>
          <w:szCs w:val="21"/>
          <w:color w:val="auto"/>
        </w:rPr>
        <w:t>This report on Form 6-K shall be deemed to be incorporated by reference in Evaxion Biotech A/S’s registration statements on Form S-8 (File No. 333-255064), on Form F-3 (File No. 333-265132) and on Form F-1 (File No. 333-266050),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549" w:right="519" w:bottom="1440" w:gutter="0" w:footer="0" w:header="0"/>
        </w:sectPr>
      </w:pPr>
    </w:p>
    <w:bookmarkStart w:id="1" w:name="page2"/>
    <w:bookmarkEnd w:id="1"/>
    <w:p>
      <w:pPr>
        <w:spacing w:after="0" w:line="250" w:lineRule="auto"/>
        <w:rPr>
          <w:sz w:val="20"/>
          <w:szCs w:val="20"/>
          <w:color w:val="auto"/>
        </w:rPr>
      </w:pPr>
      <w:r>
        <w:rPr>
          <w:rFonts w:ascii="Arial" w:cs="Arial" w:eastAsia="Arial" w:hAnsi="Arial"/>
          <w:sz w:val="22"/>
          <w:szCs w:val="22"/>
          <w:color w:val="auto"/>
        </w:rPr>
        <w:t>On May 31, 2023, the Registrant issued a press release, a copy of which is attached hereto as Exhibit 99.1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(c) Exhibit 99.1. Press release dated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60"/>
          </w:cols>
          <w:pgMar w:left="320" w:top="334" w:right="7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Evaxion Biotech</w:t>
            </w:r>
          </w:p>
        </w:tc>
        <w:tc>
          <w:tcPr>
            <w:tcW w:w="140" w:type="dxa"/>
            <w:vAlign w:val="bottom"/>
          </w:tcPr>
          <w:p>
            <w:pPr>
              <w:spacing w:after="0"/>
              <w:rPr>
                <w:sz w:val="17"/>
                <w:szCs w:val="17"/>
                <w:color w:val="auto"/>
              </w:rPr>
            </w:pPr>
          </w:p>
        </w:tc>
      </w:tr>
      <w:tr>
        <w:trPr>
          <w:trHeight w:val="237"/>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(Registrant)</w:t>
            </w:r>
          </w:p>
        </w:tc>
        <w:tc>
          <w:tcPr>
            <w:tcW w:w="140" w:type="dxa"/>
            <w:vAlign w:val="bottom"/>
          </w:tcPr>
          <w:p>
            <w:pPr>
              <w:spacing w:after="0"/>
              <w:rPr>
                <w:sz w:val="20"/>
                <w:szCs w:val="20"/>
                <w:color w:val="auto"/>
              </w:rPr>
            </w:pPr>
          </w:p>
        </w:tc>
      </w:tr>
      <w:tr>
        <w:trPr>
          <w:trHeight w:val="608"/>
        </w:trPr>
        <w:tc>
          <w:tcPr>
            <w:tcW w:w="7800" w:type="dxa"/>
            <w:vAlign w:val="bottom"/>
            <w:gridSpan w:val="2"/>
          </w:tcPr>
          <w:p>
            <w:pPr>
              <w:spacing w:after="0"/>
              <w:rPr>
                <w:sz w:val="20"/>
                <w:szCs w:val="20"/>
                <w:color w:val="auto"/>
              </w:rPr>
            </w:pPr>
            <w:r>
              <w:rPr>
                <w:rFonts w:ascii="Arial" w:cs="Arial" w:eastAsia="Arial" w:hAnsi="Arial"/>
                <w:sz w:val="18"/>
                <w:szCs w:val="18"/>
                <w:color w:val="auto"/>
              </w:rPr>
              <w:t>Date: May 31, 2023</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/s/ Sabine Mølleskov</w:t>
            </w:r>
          </w:p>
        </w:tc>
        <w:tc>
          <w:tcPr>
            <w:tcW w:w="140" w:type="dxa"/>
            <w:vAlign w:val="bottom"/>
          </w:tcPr>
          <w:p>
            <w:pPr>
              <w:spacing w:after="0"/>
              <w:rPr>
                <w:sz w:val="24"/>
                <w:szCs w:val="24"/>
                <w:color w:val="auto"/>
              </w:rPr>
            </w:pPr>
          </w:p>
        </w:tc>
      </w:tr>
      <w:tr>
        <w:trPr>
          <w:trHeight w:val="222"/>
        </w:trPr>
        <w:tc>
          <w:tcPr>
            <w:tcW w:w="7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Sabine Mølleskov</w:t>
            </w:r>
          </w:p>
        </w:tc>
        <w:tc>
          <w:tcPr>
            <w:tcW w:w="140" w:type="dxa"/>
            <w:vAlign w:val="bottom"/>
            <w:tcBorders>
              <w:top w:val="single" w:sz="8" w:color="auto"/>
            </w:tcBorders>
          </w:tcPr>
          <w:p>
            <w:pPr>
              <w:spacing w:after="0"/>
              <w:rPr>
                <w:sz w:val="19"/>
                <w:szCs w:val="19"/>
                <w:color w:val="auto"/>
              </w:rPr>
            </w:pPr>
          </w:p>
        </w:tc>
      </w:tr>
      <w:tr>
        <w:trPr>
          <w:trHeight w:val="230"/>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VP Investor Relations</w:t>
            </w:r>
          </w:p>
        </w:tc>
        <w:tc>
          <w:tcPr>
            <w:tcW w:w="140" w:type="dxa"/>
            <w:vAlign w:val="bottom"/>
          </w:tcPr>
          <w:p>
            <w:pPr>
              <w:spacing w:after="0"/>
              <w:rPr>
                <w:sz w:val="20"/>
                <w:szCs w:val="20"/>
                <w:color w:val="auto"/>
              </w:rPr>
            </w:pPr>
          </w:p>
        </w:tc>
      </w:tr>
    </w:tbl>
    <w:p>
      <w:pPr>
        <w:sectPr>
          <w:pgSz w:w="11900" w:h="16838" w:orient="portrait"/>
          <w:cols w:equalWidth="0" w:num="1">
            <w:col w:w="11140"/>
          </w:cols>
          <w:pgMar w:left="320" w:top="328" w:right="439" w:bottom="1440" w:gutter="0" w:footer="0" w:header="0"/>
        </w:sectPr>
      </w:pPr>
    </w:p>
    <w:bookmarkStart w:id="3" w:name="page4"/>
    <w:bookmarkEnd w:id="3"/>
    <w:p>
      <w:pPr>
        <w:spacing w:after="0" w:line="7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Evaxion Announces Business Update and First Quarter 2023 Financial Results</w:t>
      </w:r>
    </w:p>
    <w:p>
      <w:pPr>
        <w:spacing w:after="0" w:line="212" w:lineRule="exact"/>
        <w:rPr>
          <w:sz w:val="20"/>
          <w:szCs w:val="20"/>
          <w:color w:val="auto"/>
        </w:rPr>
      </w:pPr>
    </w:p>
    <w:p>
      <w:pPr>
        <w:ind w:left="540" w:right="100"/>
        <w:spacing w:after="0" w:line="326" w:lineRule="auto"/>
        <w:rPr>
          <w:sz w:val="20"/>
          <w:szCs w:val="20"/>
          <w:color w:val="auto"/>
        </w:rPr>
      </w:pPr>
      <w:r>
        <w:rPr>
          <w:rFonts w:ascii="Arial" w:cs="Arial" w:eastAsia="Arial" w:hAnsi="Arial"/>
          <w:sz w:val="19"/>
          <w:szCs w:val="19"/>
          <w:color w:val="auto"/>
        </w:rPr>
        <w:t>Full read-out of the Phase 1/2a trial of EVX-02 in 10 patients with completely resected melanoma was presented at AACR in April 2023, meeting primary endpoints and demonstrating relapse-free survival in all EVX-02 completers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-315595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20"/>
        <w:spacing w:after="0" w:line="250" w:lineRule="auto"/>
        <w:rPr>
          <w:sz w:val="20"/>
          <w:szCs w:val="20"/>
          <w:color w:val="auto"/>
        </w:rPr>
      </w:pPr>
      <w:r>
        <w:rPr>
          <w:rFonts w:ascii="Arial" w:cs="Arial" w:eastAsia="Arial" w:hAnsi="Arial"/>
          <w:sz w:val="22"/>
          <w:szCs w:val="22"/>
          <w:color w:val="auto"/>
        </w:rPr>
        <w:t>Recent R&amp;D Day highlighted Evaxion´s proprietary genetic adjuvant technology enhancing efficacy of DNA and mRNA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7" w:lineRule="exact"/>
        <w:rPr>
          <w:sz w:val="20"/>
          <w:szCs w:val="20"/>
          <w:color w:val="auto"/>
        </w:rPr>
      </w:pPr>
    </w:p>
    <w:p>
      <w:pPr>
        <w:ind w:left="540" w:right="960"/>
        <w:spacing w:after="0"/>
        <w:rPr>
          <w:sz w:val="20"/>
          <w:szCs w:val="20"/>
          <w:color w:val="auto"/>
        </w:rPr>
      </w:pPr>
      <w:r>
        <w:rPr>
          <w:rFonts w:ascii="Arial" w:cs="Arial" w:eastAsia="Arial" w:hAnsi="Arial"/>
          <w:sz w:val="22"/>
          <w:szCs w:val="22"/>
          <w:color w:val="auto"/>
        </w:rPr>
        <w:t>Announcement of novel AI-platform for identification of a new source of therapeutic targets, ERVs (endogenous retroviruses), potentially enabling treatment of patients that are currently considered unresponsive to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8" w:lineRule="exact"/>
        <w:rPr>
          <w:sz w:val="20"/>
          <w:szCs w:val="20"/>
          <w:color w:val="auto"/>
        </w:rPr>
      </w:pPr>
    </w:p>
    <w:p>
      <w:pPr>
        <w:ind w:left="540" w:right="120"/>
        <w:spacing w:after="0" w:line="250" w:lineRule="auto"/>
        <w:rPr>
          <w:sz w:val="20"/>
          <w:szCs w:val="20"/>
          <w:color w:val="auto"/>
        </w:rPr>
      </w:pPr>
      <w:r>
        <w:rPr>
          <w:rFonts w:ascii="Arial" w:cs="Arial" w:eastAsia="Arial" w:hAnsi="Arial"/>
          <w:sz w:val="22"/>
          <w:szCs w:val="22"/>
          <w:color w:val="auto"/>
        </w:rPr>
        <w:t>Full read-out of the Phase 1/2a trial of EVX-01 in 12 patients with metastatic melanoma will be presented at the American Society for Clinical Oncology (ASCO) Meeting in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7"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Cash and cash equivalents of $10.2 million at March 2023 sufficient to fund operations into early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-92075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right="280"/>
        <w:spacing w:after="0" w:line="257" w:lineRule="auto"/>
        <w:rPr>
          <w:sz w:val="20"/>
          <w:szCs w:val="20"/>
          <w:color w:val="auto"/>
        </w:rPr>
      </w:pPr>
      <w:r>
        <w:rPr>
          <w:rFonts w:ascii="Arial" w:cs="Arial" w:eastAsia="Arial" w:hAnsi="Arial"/>
          <w:sz w:val="21"/>
          <w:szCs w:val="21"/>
          <w:color w:val="auto"/>
        </w:rPr>
        <w:t>COPENHAGEN, Denmark, May 31, 2023 (GLOBE NEWSWIRE) -- Evaxion Biotech A/S (NASDAQ: EVAX) (“Evaxion” or the “Company), a clinical-stage biotechnology company specializing in the development of AI-driven immunotherapies, announced today its first quarter 2023 financial results and provided a business update.</w:t>
      </w:r>
    </w:p>
    <w:p>
      <w:pPr>
        <w:spacing w:after="0" w:line="169"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“Evaxion continues to make significant progress towards our mission of advancing AI-powered immunotherapies to save lives,” said Per Norlén, Chief Executive Officer of Evaxion. “Data, reported at AACR 2023 and to be presented at ASCO 2023, show that in our trials in melanoma with EVX-02 and EVX-01, respectively, patients experienced promising clinical responses, with good overall tolerability. These data provide important validation for Evaxion’s AI-driven approach to personalized cancer vaccines and underscore our enthusiasm for our next-generation vaccine candidate, EVX-03, slated to begin clinical trials by the end of this year.”</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auto"/>
        </w:rPr>
        <w:t>“We have also announced important advances in our proprietary AI-technology, including the new platform ObsERV™, which enables Evaxion to identify new patient-specific tumor targets, called ERVs, based on ancient viral remnants in our genome. It has the potential to further enhance the efficacy of our personalized cancer vaccine EVX-03, as well as broadening immunotherapy to patients that are currently unresponsive to such treatments” said Per, concluding, “We believe that the promising clinical data from our first-generation programs and the exciting technology advancement with our genetic adjuvant technology, position Evaxion at the forefront of the recent resurgence in interest for nucleic acid-based vaccines.”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Anticipated milestones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June 2023 - Full readout of EVX-01 Phase 1/2a trial at 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Q3 2023 - CTA filing for EVX-03*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Q4 2023 – Interim results of EVX-01 Phase 2 trial in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Q4 2023 – Initiate enrollment of EVX-03 Phase 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*Subject to additional funding in the range of $ 5-10 million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Promising clinical data presented for EVX-01 and EVX-02</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Clinical readout for the Phase 1/2a trial of EVX-02 was presented at AACR in April. All 10 patients with late stage melanoma who completed EVX-02 treatment demonstrated robust and treatment-specific immune responses and were relapse-free at their last assessment.</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EVX-01 will be presented at ASCO on June 3. The overall outcome of the trial was made public on May 25 with positive clinical responses in 8 out of 12 patients receiving EVX-01 in combination with a checkpoint inhibitor. The trial also met primary endpoints for tolerability and safety, with only mild AEs being related to EVX-01.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R&amp;D Day Highlights Preclinical Data on genetic adjuvant technology</w:t>
      </w:r>
    </w:p>
    <w:p>
      <w:pPr>
        <w:spacing w:after="0" w:line="21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On May 25, Evaxion hosted a series of talks from its scientists and collaborators, sharing preclinical data on its proprietary genetic adjuvant technology developed to enhance the effectiveness of DNA and mRNA vaccines. The genetic adjuvant carries the code for CCL19, a molecule known to attract immune cells, notably antigen presenting cells, and can be encoded into either DNA or mRNA vaccines to boost the immune response. The technology boosts both B cell and T cell immune responses, making it applicable to a wide range of vaccines, both for cancer and for infectious disease.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Next-generation cancer immunotherapy based on ERVs</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On March 23, Evaxion announced that it has developed a new proprietary AI platform technology, ObsERV™, identifying a new source of targets for personalized cancer therapy. ObsERV™ makes it possible to identify patient-specific virus targets, so-called ERVs (endogenous retroviruses), selectively expressed in cancer. Evaxion has demonstrated that ERVs are strongly associated with the overall survival of cancer patients, and notably of patients with cold tumors that are normally unresponsive to immunotherapy. Evaxion anticipates filing a clinical trial application (CTA) with the European Medicines Agency in Q3 2023 for</w:t>
      </w:r>
    </w:p>
    <w:p>
      <w:pPr>
        <w:sectPr>
          <w:pgSz w:w="11900" w:h="16911" w:orient="portrait"/>
          <w:cols w:equalWidth="0" w:num="1">
            <w:col w:w="11240"/>
          </w:cols>
          <w:pgMar w:left="320" w:top="328" w:right="339" w:bottom="0" w:gutter="0" w:footer="0" w:header="0"/>
        </w:sectPr>
      </w:pPr>
    </w:p>
    <w:bookmarkStart w:id="4" w:name="page5"/>
    <w:bookmarkEnd w:id="4"/>
    <w:p>
      <w:pPr>
        <w:ind w:right="240"/>
        <w:spacing w:after="0" w:line="251" w:lineRule="auto"/>
        <w:rPr>
          <w:sz w:val="20"/>
          <w:szCs w:val="20"/>
          <w:color w:val="auto"/>
        </w:rPr>
      </w:pPr>
      <w:r>
        <w:rPr>
          <w:rFonts w:ascii="Arial" w:cs="Arial" w:eastAsia="Arial" w:hAnsi="Arial"/>
          <w:sz w:val="22"/>
          <w:szCs w:val="22"/>
          <w:color w:val="auto"/>
        </w:rPr>
        <w:t>its next-generation DNA-based cancer immunotherapy utilizing the OBsERV technology and intends to begin a Phase 1 trial in Q4 2023 in patients with solid tumors, subject to additional funding being obtained.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of 2023 Financial Results</w:t>
      </w:r>
    </w:p>
    <w:p>
      <w:pPr>
        <w:spacing w:after="0" w:line="212" w:lineRule="exact"/>
        <w:rPr>
          <w:sz w:val="20"/>
          <w:szCs w:val="20"/>
          <w:color w:val="auto"/>
        </w:rPr>
      </w:pPr>
    </w:p>
    <w:p>
      <w:pPr>
        <w:ind w:left="540" w:right="160"/>
        <w:spacing w:after="0" w:line="238" w:lineRule="auto"/>
        <w:rPr>
          <w:sz w:val="20"/>
          <w:szCs w:val="20"/>
          <w:color w:val="auto"/>
        </w:rPr>
      </w:pPr>
      <w:r>
        <w:rPr>
          <w:rFonts w:ascii="Arial" w:cs="Arial" w:eastAsia="Arial" w:hAnsi="Arial"/>
          <w:sz w:val="22"/>
          <w:szCs w:val="22"/>
          <w:color w:val="auto"/>
        </w:rPr>
        <w:t>Cash position: As of March 31, 2023, cash and cash equivalents were $10.2 million as compared to $13.2 as of December 31, 2022. Operating spending for the first quarter of 2023 was offset by the proceeds from issue of shares and exercise of warrants. We expect that our existing cash and cash equivalents, will be sufficient to fund our operating expenses and capital expenditure requirements into early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7" w:lineRule="exact"/>
        <w:rPr>
          <w:sz w:val="20"/>
          <w:szCs w:val="20"/>
          <w:color w:val="auto"/>
        </w:rPr>
      </w:pPr>
    </w:p>
    <w:p>
      <w:pPr>
        <w:jc w:val="both"/>
        <w:ind w:left="540" w:right="140"/>
        <w:spacing w:after="0"/>
        <w:rPr>
          <w:sz w:val="20"/>
          <w:szCs w:val="20"/>
          <w:color w:val="auto"/>
        </w:rPr>
      </w:pPr>
      <w:r>
        <w:rPr>
          <w:rFonts w:ascii="Arial" w:cs="Arial" w:eastAsia="Arial" w:hAnsi="Arial"/>
          <w:sz w:val="22"/>
          <w:szCs w:val="22"/>
          <w:color w:val="auto"/>
        </w:rPr>
        <w:t>Research and Development expenses were $3.9 million for the quarter ended March 31, 2023 as compared to $4.8 million for the quarter ended March 31, 2022. The decrease was primarily due to a decrease in external costs offset by an increase in employee-related costs as a result of higher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General and Administrative expenses were $2.5 million for the quarter ended March 31, 2023 as compared to $1.6 million for the quarter ended March 31, 2022. The increase was primarily due to an increase in external costs for planning of equity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8" w:lineRule="exact"/>
        <w:rPr>
          <w:sz w:val="20"/>
          <w:szCs w:val="20"/>
          <w:color w:val="auto"/>
        </w:rPr>
      </w:pPr>
    </w:p>
    <w:p>
      <w:pPr>
        <w:ind w:left="540" w:right="100"/>
        <w:spacing w:after="0" w:line="328" w:lineRule="auto"/>
        <w:rPr>
          <w:sz w:val="20"/>
          <w:szCs w:val="20"/>
          <w:color w:val="auto"/>
        </w:rPr>
      </w:pPr>
      <w:r>
        <w:rPr>
          <w:rFonts w:ascii="Arial" w:cs="Arial" w:eastAsia="Arial" w:hAnsi="Arial"/>
          <w:sz w:val="19"/>
          <w:szCs w:val="19"/>
          <w:color w:val="auto"/>
        </w:rPr>
        <w:t>Net loss was $6.2 million for the quarter ended March 31, 2023 or ($0.24) per basic and diluted share as compared to a net loss of $5.8 million, or ($0.25) per basic and diluted share for the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Evaxion</w:t>
      </w:r>
    </w:p>
    <w:p>
      <w:pPr>
        <w:spacing w:after="0" w:line="14"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Evaxion Biotech A/S is a clinical-stage, pioneering company, advancing AI-powered immunotherapies. Evaxion’s proprietary and scalable AI technologies decode the human immune system to discover and develop novel immunotherapies for cancer, bacterial diseases, and viral infections. Evaxion has a broad pipeline of candidates, including three clinical-stage, personalized cancer immunotherapies. The Company is located in Hørsholm, Denmark and listed on the Nasdaq New York stock exchange. For more information, please visit www.evaxion-biotech.com.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Source: Evaxion Biotech</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14"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COVID-19 pandemic and the ongoing conflict in the region surrounding Ukraine and Russia;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Arial" w:cs="Arial" w:eastAsia="Arial" w:hAnsi="Arial"/>
          <w:sz w:val="19"/>
          <w:szCs w:val="19"/>
          <w:b w:val="1"/>
          <w:bCs w:val="1"/>
          <w:u w:val="single" w:color="auto"/>
          <w:color w:val="auto"/>
        </w:rPr>
        <w:t>www.sec.gov</w:t>
      </w:r>
      <w:r>
        <w:rPr>
          <w:rFonts w:ascii="Arial" w:cs="Arial" w:eastAsia="Arial" w:hAnsi="Arial"/>
          <w:sz w:val="19"/>
          <w:szCs w:val="19"/>
          <w:color w:val="auto"/>
        </w:rPr>
        <w:t>. We do not assume any obligation to update any forward-looking statements except as required by law.</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2460" w:type="dxa"/>
            <w:vAlign w:val="bottom"/>
          </w:tcPr>
          <w:p>
            <w:pPr>
              <w:spacing w:after="0"/>
              <w:rPr>
                <w:sz w:val="24"/>
                <w:szCs w:val="24"/>
                <w:color w:val="auto"/>
              </w:rPr>
            </w:pPr>
          </w:p>
        </w:tc>
        <w:tc>
          <w:tcPr>
            <w:tcW w:w="6840" w:type="dxa"/>
            <w:vAlign w:val="bottom"/>
          </w:tcPr>
          <w:p>
            <w:pPr>
              <w:jc w:val="center"/>
              <w:ind w:right="452"/>
              <w:spacing w:after="0"/>
              <w:rPr>
                <w:sz w:val="20"/>
                <w:szCs w:val="20"/>
                <w:color w:val="auto"/>
              </w:rPr>
            </w:pPr>
            <w:r>
              <w:rPr>
                <w:rFonts w:ascii="Arial" w:cs="Arial" w:eastAsia="Arial" w:hAnsi="Arial"/>
                <w:sz w:val="22"/>
                <w:szCs w:val="22"/>
                <w:b w:val="1"/>
                <w:bCs w:val="1"/>
                <w:color w:val="auto"/>
                <w:w w:val="87"/>
              </w:rPr>
              <w:t>Evaxion Biotech A/S</w:t>
            </w:r>
          </w:p>
        </w:tc>
        <w:tc>
          <w:tcPr>
            <w:tcW w:w="1900" w:type="dxa"/>
            <w:vAlign w:val="bottom"/>
          </w:tcPr>
          <w:p>
            <w:pPr>
              <w:spacing w:after="0"/>
              <w:rPr>
                <w:sz w:val="24"/>
                <w:szCs w:val="24"/>
                <w:color w:val="auto"/>
              </w:rPr>
            </w:pPr>
          </w:p>
        </w:tc>
      </w:tr>
      <w:tr>
        <w:trPr>
          <w:trHeight w:val="459"/>
        </w:trPr>
        <w:tc>
          <w:tcPr>
            <w:tcW w:w="2460" w:type="dxa"/>
            <w:vAlign w:val="bottom"/>
          </w:tcPr>
          <w:p>
            <w:pPr>
              <w:spacing w:after="0"/>
              <w:rPr>
                <w:sz w:val="24"/>
                <w:szCs w:val="24"/>
                <w:color w:val="auto"/>
              </w:rPr>
            </w:pPr>
          </w:p>
        </w:tc>
        <w:tc>
          <w:tcPr>
            <w:tcW w:w="6840" w:type="dxa"/>
            <w:vAlign w:val="bottom"/>
          </w:tcPr>
          <w:p>
            <w:pPr>
              <w:jc w:val="center"/>
              <w:ind w:right="432"/>
              <w:spacing w:after="0"/>
              <w:rPr>
                <w:sz w:val="20"/>
                <w:szCs w:val="20"/>
                <w:color w:val="auto"/>
              </w:rPr>
            </w:pPr>
            <w:r>
              <w:rPr>
                <w:rFonts w:ascii="Arial" w:cs="Arial" w:eastAsia="Arial" w:hAnsi="Arial"/>
                <w:sz w:val="22"/>
                <w:szCs w:val="22"/>
                <w:b w:val="1"/>
                <w:bCs w:val="1"/>
                <w:color w:val="auto"/>
                <w:w w:val="88"/>
              </w:rPr>
              <w:t>Consolidated Statements of Financial Position Data (Unaudited)</w:t>
            </w:r>
          </w:p>
        </w:tc>
        <w:tc>
          <w:tcPr>
            <w:tcW w:w="1900" w:type="dxa"/>
            <w:vAlign w:val="bottom"/>
          </w:tcPr>
          <w:p>
            <w:pPr>
              <w:spacing w:after="0"/>
              <w:rPr>
                <w:sz w:val="24"/>
                <w:szCs w:val="24"/>
                <w:color w:val="auto"/>
              </w:rPr>
            </w:pPr>
          </w:p>
        </w:tc>
      </w:tr>
      <w:tr>
        <w:trPr>
          <w:trHeight w:val="459"/>
        </w:trPr>
        <w:tc>
          <w:tcPr>
            <w:tcW w:w="2460" w:type="dxa"/>
            <w:vAlign w:val="bottom"/>
          </w:tcPr>
          <w:p>
            <w:pPr>
              <w:spacing w:after="0"/>
              <w:rPr>
                <w:sz w:val="24"/>
                <w:szCs w:val="24"/>
                <w:color w:val="auto"/>
              </w:rPr>
            </w:pPr>
          </w:p>
        </w:tc>
        <w:tc>
          <w:tcPr>
            <w:tcW w:w="6840" w:type="dxa"/>
            <w:vAlign w:val="bottom"/>
          </w:tcPr>
          <w:p>
            <w:pPr>
              <w:jc w:val="center"/>
              <w:ind w:right="452"/>
              <w:spacing w:after="0"/>
              <w:rPr>
                <w:sz w:val="20"/>
                <w:szCs w:val="20"/>
                <w:color w:val="auto"/>
              </w:rPr>
            </w:pPr>
            <w:r>
              <w:rPr>
                <w:rFonts w:ascii="Arial" w:cs="Arial" w:eastAsia="Arial" w:hAnsi="Arial"/>
                <w:sz w:val="22"/>
                <w:szCs w:val="22"/>
                <w:b w:val="1"/>
                <w:bCs w:val="1"/>
                <w:color w:val="auto"/>
                <w:w w:val="88"/>
              </w:rPr>
              <w:t>(USD in thousands)</w:t>
            </w:r>
          </w:p>
        </w:tc>
        <w:tc>
          <w:tcPr>
            <w:tcW w:w="1900" w:type="dxa"/>
            <w:vAlign w:val="bottom"/>
          </w:tcPr>
          <w:p>
            <w:pPr>
              <w:spacing w:after="0"/>
              <w:rPr>
                <w:sz w:val="24"/>
                <w:szCs w:val="24"/>
                <w:color w:val="auto"/>
              </w:rPr>
            </w:pPr>
          </w:p>
        </w:tc>
      </w:tr>
      <w:tr>
        <w:trPr>
          <w:trHeight w:val="468"/>
        </w:trPr>
        <w:tc>
          <w:tcPr>
            <w:tcW w:w="2460" w:type="dxa"/>
            <w:vAlign w:val="bottom"/>
          </w:tcPr>
          <w:p>
            <w:pPr>
              <w:spacing w:after="0"/>
              <w:rPr>
                <w:sz w:val="24"/>
                <w:szCs w:val="24"/>
                <w:color w:val="auto"/>
              </w:rPr>
            </w:pPr>
          </w:p>
        </w:tc>
        <w:tc>
          <w:tcPr>
            <w:tcW w:w="6840" w:type="dxa"/>
            <w:vAlign w:val="bottom"/>
          </w:tcPr>
          <w:p>
            <w:pPr>
              <w:jc w:val="right"/>
              <w:ind w:right="792"/>
              <w:spacing w:after="0"/>
              <w:rPr>
                <w:sz w:val="20"/>
                <w:szCs w:val="20"/>
                <w:color w:val="auto"/>
              </w:rPr>
            </w:pPr>
            <w:r>
              <w:rPr>
                <w:rFonts w:ascii="Arial" w:cs="Arial" w:eastAsia="Arial" w:hAnsi="Arial"/>
                <w:sz w:val="22"/>
                <w:szCs w:val="22"/>
                <w:b w:val="1"/>
                <w:bCs w:val="1"/>
                <w:color w:val="auto"/>
              </w:rPr>
              <w:t>Mar 31, 2023</w:t>
            </w:r>
          </w:p>
        </w:tc>
        <w:tc>
          <w:tcPr>
            <w:tcW w:w="1900" w:type="dxa"/>
            <w:vAlign w:val="bottom"/>
          </w:tcPr>
          <w:p>
            <w:pPr>
              <w:jc w:val="right"/>
              <w:spacing w:after="0"/>
              <w:rPr>
                <w:sz w:val="20"/>
                <w:szCs w:val="20"/>
                <w:color w:val="auto"/>
              </w:rPr>
            </w:pPr>
            <w:r>
              <w:rPr>
                <w:rFonts w:ascii="Arial" w:cs="Arial" w:eastAsia="Arial" w:hAnsi="Arial"/>
                <w:sz w:val="22"/>
                <w:szCs w:val="22"/>
                <w:b w:val="1"/>
                <w:bCs w:val="1"/>
                <w:color w:val="auto"/>
              </w:rPr>
              <w:t>Dec 31, 2022</w:t>
            </w:r>
          </w:p>
        </w:tc>
      </w:tr>
      <w:tr>
        <w:trPr>
          <w:trHeight w:val="270"/>
        </w:trPr>
        <w:tc>
          <w:tcPr>
            <w:tcW w:w="2460" w:type="dxa"/>
            <w:vAlign w:val="bottom"/>
          </w:tcPr>
          <w:p>
            <w:pPr>
              <w:spacing w:after="0"/>
              <w:rPr>
                <w:sz w:val="20"/>
                <w:szCs w:val="20"/>
                <w:color w:val="auto"/>
              </w:rPr>
            </w:pPr>
            <w:r>
              <w:rPr>
                <w:rFonts w:ascii="Arial" w:cs="Arial" w:eastAsia="Arial" w:hAnsi="Arial"/>
                <w:sz w:val="22"/>
                <w:szCs w:val="22"/>
                <w:color w:val="auto"/>
                <w:w w:val="92"/>
              </w:rPr>
              <w:t>Cash and cash equivalents</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$10,240</w:t>
            </w:r>
          </w:p>
        </w:tc>
        <w:tc>
          <w:tcPr>
            <w:tcW w:w="1900" w:type="dxa"/>
            <w:vAlign w:val="bottom"/>
          </w:tcPr>
          <w:p>
            <w:pPr>
              <w:jc w:val="right"/>
              <w:spacing w:after="0"/>
              <w:rPr>
                <w:sz w:val="20"/>
                <w:szCs w:val="20"/>
                <w:color w:val="auto"/>
              </w:rPr>
            </w:pPr>
            <w:r>
              <w:rPr>
                <w:rFonts w:ascii="Arial" w:cs="Arial" w:eastAsia="Arial" w:hAnsi="Arial"/>
                <w:sz w:val="22"/>
                <w:szCs w:val="22"/>
                <w:color w:val="auto"/>
              </w:rPr>
              <w:t>$13,184</w:t>
            </w:r>
          </w:p>
        </w:tc>
      </w:tr>
      <w:tr>
        <w:trPr>
          <w:trHeight w:val="270"/>
        </w:trPr>
        <w:tc>
          <w:tcPr>
            <w:tcW w:w="2460" w:type="dxa"/>
            <w:vAlign w:val="bottom"/>
          </w:tcPr>
          <w:p>
            <w:pPr>
              <w:spacing w:after="0"/>
              <w:rPr>
                <w:sz w:val="20"/>
                <w:szCs w:val="20"/>
                <w:color w:val="auto"/>
              </w:rPr>
            </w:pPr>
            <w:r>
              <w:rPr>
                <w:rFonts w:ascii="Arial" w:cs="Arial" w:eastAsia="Arial" w:hAnsi="Arial"/>
                <w:sz w:val="22"/>
                <w:szCs w:val="22"/>
                <w:color w:val="auto"/>
              </w:rPr>
              <w:t>Total assets</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20,488</w:t>
            </w:r>
          </w:p>
        </w:tc>
        <w:tc>
          <w:tcPr>
            <w:tcW w:w="1900" w:type="dxa"/>
            <w:vAlign w:val="bottom"/>
          </w:tcPr>
          <w:p>
            <w:pPr>
              <w:jc w:val="right"/>
              <w:spacing w:after="0"/>
              <w:rPr>
                <w:sz w:val="20"/>
                <w:szCs w:val="20"/>
                <w:color w:val="auto"/>
              </w:rPr>
            </w:pPr>
            <w:r>
              <w:rPr>
                <w:rFonts w:ascii="Arial" w:cs="Arial" w:eastAsia="Arial" w:hAnsi="Arial"/>
                <w:sz w:val="22"/>
                <w:szCs w:val="22"/>
                <w:color w:val="auto"/>
              </w:rPr>
              <w:t>22,025</w:t>
            </w:r>
          </w:p>
        </w:tc>
      </w:tr>
      <w:tr>
        <w:trPr>
          <w:trHeight w:val="270"/>
        </w:trPr>
        <w:tc>
          <w:tcPr>
            <w:tcW w:w="2460" w:type="dxa"/>
            <w:vAlign w:val="bottom"/>
          </w:tcPr>
          <w:p>
            <w:pPr>
              <w:spacing w:after="0"/>
              <w:rPr>
                <w:sz w:val="20"/>
                <w:szCs w:val="20"/>
                <w:color w:val="auto"/>
              </w:rPr>
            </w:pPr>
            <w:r>
              <w:rPr>
                <w:rFonts w:ascii="Arial" w:cs="Arial" w:eastAsia="Arial" w:hAnsi="Arial"/>
                <w:sz w:val="22"/>
                <w:szCs w:val="22"/>
                <w:color w:val="auto"/>
              </w:rPr>
              <w:t>Total liabilities</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13,913</w:t>
            </w:r>
          </w:p>
        </w:tc>
        <w:tc>
          <w:tcPr>
            <w:tcW w:w="1900" w:type="dxa"/>
            <w:vAlign w:val="bottom"/>
          </w:tcPr>
          <w:p>
            <w:pPr>
              <w:jc w:val="right"/>
              <w:spacing w:after="0"/>
              <w:rPr>
                <w:sz w:val="20"/>
                <w:szCs w:val="20"/>
                <w:color w:val="auto"/>
              </w:rPr>
            </w:pPr>
            <w:r>
              <w:rPr>
                <w:rFonts w:ascii="Arial" w:cs="Arial" w:eastAsia="Arial" w:hAnsi="Arial"/>
                <w:sz w:val="22"/>
                <w:szCs w:val="22"/>
                <w:color w:val="auto"/>
              </w:rPr>
              <w:t>13,722</w:t>
            </w:r>
          </w:p>
        </w:tc>
      </w:tr>
      <w:tr>
        <w:trPr>
          <w:trHeight w:val="270"/>
        </w:trPr>
        <w:tc>
          <w:tcPr>
            <w:tcW w:w="2460" w:type="dxa"/>
            <w:vAlign w:val="bottom"/>
          </w:tcPr>
          <w:p>
            <w:pPr>
              <w:spacing w:after="0"/>
              <w:rPr>
                <w:sz w:val="20"/>
                <w:szCs w:val="20"/>
                <w:color w:val="auto"/>
              </w:rPr>
            </w:pPr>
            <w:r>
              <w:rPr>
                <w:rFonts w:ascii="Arial" w:cs="Arial" w:eastAsia="Arial" w:hAnsi="Arial"/>
                <w:sz w:val="22"/>
                <w:szCs w:val="22"/>
                <w:color w:val="auto"/>
              </w:rPr>
              <w:t>Share capital</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4,217</w:t>
            </w:r>
          </w:p>
        </w:tc>
        <w:tc>
          <w:tcPr>
            <w:tcW w:w="1900" w:type="dxa"/>
            <w:vAlign w:val="bottom"/>
          </w:tcPr>
          <w:p>
            <w:pPr>
              <w:jc w:val="right"/>
              <w:spacing w:after="0"/>
              <w:rPr>
                <w:sz w:val="20"/>
                <w:szCs w:val="20"/>
                <w:color w:val="auto"/>
              </w:rPr>
            </w:pPr>
            <w:r>
              <w:rPr>
                <w:rFonts w:ascii="Arial" w:cs="Arial" w:eastAsia="Arial" w:hAnsi="Arial"/>
                <w:sz w:val="22"/>
                <w:szCs w:val="22"/>
                <w:color w:val="auto"/>
              </w:rPr>
              <w:t>3,886</w:t>
            </w:r>
          </w:p>
        </w:tc>
      </w:tr>
      <w:tr>
        <w:trPr>
          <w:trHeight w:val="270"/>
        </w:trPr>
        <w:tc>
          <w:tcPr>
            <w:tcW w:w="2460" w:type="dxa"/>
            <w:vAlign w:val="bottom"/>
          </w:tcPr>
          <w:p>
            <w:pPr>
              <w:spacing w:after="0"/>
              <w:rPr>
                <w:sz w:val="20"/>
                <w:szCs w:val="20"/>
                <w:color w:val="auto"/>
              </w:rPr>
            </w:pPr>
            <w:r>
              <w:rPr>
                <w:rFonts w:ascii="Arial" w:cs="Arial" w:eastAsia="Arial" w:hAnsi="Arial"/>
                <w:sz w:val="22"/>
                <w:szCs w:val="22"/>
                <w:color w:val="auto"/>
              </w:rPr>
              <w:t>Other reserves</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81,080</w:t>
            </w:r>
          </w:p>
        </w:tc>
        <w:tc>
          <w:tcPr>
            <w:tcW w:w="1900" w:type="dxa"/>
            <w:vAlign w:val="bottom"/>
          </w:tcPr>
          <w:p>
            <w:pPr>
              <w:jc w:val="right"/>
              <w:spacing w:after="0"/>
              <w:rPr>
                <w:sz w:val="20"/>
                <w:szCs w:val="20"/>
                <w:color w:val="auto"/>
              </w:rPr>
            </w:pPr>
            <w:r>
              <w:rPr>
                <w:rFonts w:ascii="Arial" w:cs="Arial" w:eastAsia="Arial" w:hAnsi="Arial"/>
                <w:sz w:val="22"/>
                <w:szCs w:val="22"/>
                <w:color w:val="auto"/>
              </w:rPr>
              <w:t>77,076</w:t>
            </w:r>
          </w:p>
        </w:tc>
      </w:tr>
      <w:tr>
        <w:trPr>
          <w:trHeight w:val="270"/>
        </w:trPr>
        <w:tc>
          <w:tcPr>
            <w:tcW w:w="2460" w:type="dxa"/>
            <w:vAlign w:val="bottom"/>
          </w:tcPr>
          <w:p>
            <w:pPr>
              <w:spacing w:after="0"/>
              <w:rPr>
                <w:sz w:val="20"/>
                <w:szCs w:val="20"/>
                <w:color w:val="auto"/>
              </w:rPr>
            </w:pPr>
            <w:r>
              <w:rPr>
                <w:rFonts w:ascii="Arial" w:cs="Arial" w:eastAsia="Arial" w:hAnsi="Arial"/>
                <w:sz w:val="22"/>
                <w:szCs w:val="22"/>
                <w:color w:val="auto"/>
              </w:rPr>
              <w:t>Accumulated deficit</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(78,722)</w:t>
            </w:r>
          </w:p>
        </w:tc>
        <w:tc>
          <w:tcPr>
            <w:tcW w:w="1900" w:type="dxa"/>
            <w:vAlign w:val="bottom"/>
          </w:tcPr>
          <w:p>
            <w:pPr>
              <w:jc w:val="right"/>
              <w:spacing w:after="0"/>
              <w:rPr>
                <w:sz w:val="20"/>
                <w:szCs w:val="20"/>
                <w:color w:val="auto"/>
              </w:rPr>
            </w:pPr>
            <w:r>
              <w:rPr>
                <w:rFonts w:ascii="Arial" w:cs="Arial" w:eastAsia="Arial" w:hAnsi="Arial"/>
                <w:sz w:val="22"/>
                <w:szCs w:val="22"/>
                <w:color w:val="auto"/>
              </w:rPr>
              <w:t>(72,659)</w:t>
            </w:r>
          </w:p>
        </w:tc>
      </w:tr>
      <w:tr>
        <w:trPr>
          <w:trHeight w:val="270"/>
        </w:trPr>
        <w:tc>
          <w:tcPr>
            <w:tcW w:w="2460" w:type="dxa"/>
            <w:vAlign w:val="bottom"/>
          </w:tcPr>
          <w:p>
            <w:pPr>
              <w:spacing w:after="0"/>
              <w:rPr>
                <w:sz w:val="20"/>
                <w:szCs w:val="20"/>
                <w:color w:val="auto"/>
              </w:rPr>
            </w:pPr>
            <w:r>
              <w:rPr>
                <w:rFonts w:ascii="Arial" w:cs="Arial" w:eastAsia="Arial" w:hAnsi="Arial"/>
                <w:sz w:val="22"/>
                <w:szCs w:val="22"/>
                <w:color w:val="auto"/>
              </w:rPr>
              <w:t>Total equity</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6,575</w:t>
            </w:r>
          </w:p>
        </w:tc>
        <w:tc>
          <w:tcPr>
            <w:tcW w:w="1900" w:type="dxa"/>
            <w:vAlign w:val="bottom"/>
          </w:tcPr>
          <w:p>
            <w:pPr>
              <w:jc w:val="right"/>
              <w:spacing w:after="0"/>
              <w:rPr>
                <w:sz w:val="20"/>
                <w:szCs w:val="20"/>
                <w:color w:val="auto"/>
              </w:rPr>
            </w:pPr>
            <w:r>
              <w:rPr>
                <w:rFonts w:ascii="Arial" w:cs="Arial" w:eastAsia="Arial" w:hAnsi="Arial"/>
                <w:sz w:val="22"/>
                <w:szCs w:val="22"/>
                <w:color w:val="auto"/>
              </w:rPr>
              <w:t>8,303</w:t>
            </w:r>
          </w:p>
        </w:tc>
      </w:tr>
      <w:tr>
        <w:trPr>
          <w:trHeight w:val="274"/>
        </w:trPr>
        <w:tc>
          <w:tcPr>
            <w:tcW w:w="2460" w:type="dxa"/>
            <w:vAlign w:val="bottom"/>
          </w:tcPr>
          <w:p>
            <w:pPr>
              <w:spacing w:after="0"/>
              <w:rPr>
                <w:sz w:val="20"/>
                <w:szCs w:val="20"/>
                <w:color w:val="auto"/>
              </w:rPr>
            </w:pPr>
            <w:r>
              <w:rPr>
                <w:rFonts w:ascii="Arial" w:cs="Arial" w:eastAsia="Arial" w:hAnsi="Arial"/>
                <w:sz w:val="22"/>
                <w:szCs w:val="22"/>
                <w:color w:val="auto"/>
                <w:w w:val="99"/>
              </w:rPr>
              <w:t>Total liabilities and equity</w:t>
            </w:r>
          </w:p>
        </w:tc>
        <w:tc>
          <w:tcPr>
            <w:tcW w:w="6840" w:type="dxa"/>
            <w:vAlign w:val="bottom"/>
          </w:tcPr>
          <w:p>
            <w:pPr>
              <w:jc w:val="right"/>
              <w:ind w:right="792"/>
              <w:spacing w:after="0"/>
              <w:rPr>
                <w:sz w:val="20"/>
                <w:szCs w:val="20"/>
                <w:color w:val="auto"/>
              </w:rPr>
            </w:pPr>
            <w:r>
              <w:rPr>
                <w:rFonts w:ascii="Arial" w:cs="Arial" w:eastAsia="Arial" w:hAnsi="Arial"/>
                <w:sz w:val="22"/>
                <w:szCs w:val="22"/>
                <w:color w:val="auto"/>
              </w:rPr>
              <w:t>20,488</w:t>
            </w:r>
          </w:p>
        </w:tc>
        <w:tc>
          <w:tcPr>
            <w:tcW w:w="1900" w:type="dxa"/>
            <w:vAlign w:val="bottom"/>
          </w:tcPr>
          <w:p>
            <w:pPr>
              <w:jc w:val="right"/>
              <w:spacing w:after="0"/>
              <w:rPr>
                <w:sz w:val="20"/>
                <w:szCs w:val="20"/>
                <w:color w:val="auto"/>
              </w:rPr>
            </w:pPr>
            <w:r>
              <w:rPr>
                <w:rFonts w:ascii="Arial" w:cs="Arial" w:eastAsia="Arial" w:hAnsi="Arial"/>
                <w:sz w:val="22"/>
                <w:szCs w:val="22"/>
                <w:color w:val="auto"/>
              </w:rPr>
              <w:t>22,025</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Evaxion Biotech A/S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Loss Data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(USD in thousands, except per share data)</w:t>
      </w:r>
    </w:p>
    <w:p>
      <w:pPr>
        <w:sectPr>
          <w:pgSz w:w="11900" w:h="16838" w:orient="portrait"/>
          <w:cols w:equalWidth="0" w:num="1">
            <w:col w:w="11240"/>
          </w:cols>
          <w:pgMar w:left="320" w:top="118" w:right="339" w:bottom="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70"/>
        </w:trPr>
        <w:tc>
          <w:tcPr>
            <w:tcW w:w="5480" w:type="dxa"/>
            <w:vAlign w:val="bottom"/>
          </w:tcPr>
          <w:p>
            <w:pPr>
              <w:spacing w:after="0"/>
              <w:rPr>
                <w:sz w:val="23"/>
                <w:szCs w:val="23"/>
                <w:color w:val="auto"/>
              </w:rPr>
            </w:pPr>
          </w:p>
        </w:tc>
        <w:tc>
          <w:tcPr>
            <w:tcW w:w="3840" w:type="dxa"/>
            <w:vAlign w:val="bottom"/>
          </w:tcPr>
          <w:p>
            <w:pPr>
              <w:jc w:val="right"/>
              <w:ind w:right="812"/>
              <w:spacing w:after="0"/>
              <w:rPr>
                <w:sz w:val="20"/>
                <w:szCs w:val="20"/>
                <w:color w:val="auto"/>
              </w:rPr>
            </w:pPr>
            <w:r>
              <w:rPr>
                <w:rFonts w:ascii="Arial" w:cs="Arial" w:eastAsia="Arial" w:hAnsi="Arial"/>
                <w:sz w:val="22"/>
                <w:szCs w:val="22"/>
                <w:b w:val="1"/>
                <w:bCs w:val="1"/>
                <w:color w:val="auto"/>
                <w:w w:val="96"/>
              </w:rPr>
              <w:t>Three months Ended Mar 31,</w:t>
            </w:r>
          </w:p>
        </w:tc>
        <w:tc>
          <w:tcPr>
            <w:tcW w:w="1880" w:type="dxa"/>
            <w:vAlign w:val="bottom"/>
          </w:tcPr>
          <w:p>
            <w:pPr>
              <w:spacing w:after="0"/>
              <w:rPr>
                <w:sz w:val="23"/>
                <w:szCs w:val="23"/>
                <w:color w:val="auto"/>
              </w:rPr>
            </w:pPr>
          </w:p>
        </w:tc>
      </w:tr>
      <w:tr>
        <w:trPr>
          <w:trHeight w:val="276"/>
        </w:trPr>
        <w:tc>
          <w:tcPr>
            <w:tcW w:w="5480" w:type="dxa"/>
            <w:vAlign w:val="bottom"/>
          </w:tcPr>
          <w:p>
            <w:pPr>
              <w:spacing w:after="0"/>
              <w:rPr>
                <w:sz w:val="24"/>
                <w:szCs w:val="24"/>
                <w:color w:val="auto"/>
              </w:rPr>
            </w:pPr>
          </w:p>
        </w:tc>
        <w:tc>
          <w:tcPr>
            <w:tcW w:w="3840" w:type="dxa"/>
            <w:vAlign w:val="bottom"/>
          </w:tcPr>
          <w:p>
            <w:pPr>
              <w:jc w:val="right"/>
              <w:ind w:right="812"/>
              <w:spacing w:after="0"/>
              <w:rPr>
                <w:sz w:val="20"/>
                <w:szCs w:val="20"/>
                <w:color w:val="auto"/>
              </w:rPr>
            </w:pPr>
            <w:r>
              <w:rPr>
                <w:rFonts w:ascii="Arial" w:cs="Arial" w:eastAsia="Arial" w:hAnsi="Arial"/>
                <w:sz w:val="22"/>
                <w:szCs w:val="22"/>
                <w:b w:val="1"/>
                <w:bCs w:val="1"/>
                <w:color w:val="auto"/>
              </w:rPr>
              <w:t>2023</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2022</w:t>
            </w: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Research and development expenses</w:t>
            </w:r>
          </w:p>
        </w:tc>
        <w:tc>
          <w:tcPr>
            <w:tcW w:w="3840" w:type="dxa"/>
            <w:vAlign w:val="bottom"/>
          </w:tcPr>
          <w:p>
            <w:pPr>
              <w:jc w:val="right"/>
              <w:ind w:right="812"/>
              <w:spacing w:after="0"/>
              <w:rPr>
                <w:sz w:val="20"/>
                <w:szCs w:val="20"/>
                <w:color w:val="auto"/>
              </w:rPr>
            </w:pPr>
            <w:r>
              <w:rPr>
                <w:rFonts w:ascii="Arial" w:cs="Arial" w:eastAsia="Arial" w:hAnsi="Arial"/>
                <w:sz w:val="22"/>
                <w:szCs w:val="22"/>
                <w:color w:val="auto"/>
              </w:rPr>
              <w:t>$3,852</w:t>
            </w:r>
          </w:p>
        </w:tc>
        <w:tc>
          <w:tcPr>
            <w:tcW w:w="1880" w:type="dxa"/>
            <w:vAlign w:val="bottom"/>
          </w:tcPr>
          <w:p>
            <w:pPr>
              <w:jc w:val="right"/>
              <w:spacing w:after="0"/>
              <w:rPr>
                <w:sz w:val="20"/>
                <w:szCs w:val="20"/>
                <w:color w:val="auto"/>
              </w:rPr>
            </w:pPr>
            <w:r>
              <w:rPr>
                <w:rFonts w:ascii="Arial" w:cs="Arial" w:eastAsia="Arial" w:hAnsi="Arial"/>
                <w:sz w:val="22"/>
                <w:szCs w:val="22"/>
                <w:color w:val="auto"/>
              </w:rPr>
              <w:t>$4,804</w:t>
            </w:r>
          </w:p>
        </w:tc>
      </w:tr>
      <w:tr>
        <w:trPr>
          <w:trHeight w:val="264"/>
        </w:trPr>
        <w:tc>
          <w:tcPr>
            <w:tcW w:w="5480" w:type="dxa"/>
            <w:vAlign w:val="bottom"/>
          </w:tcPr>
          <w:p>
            <w:pPr>
              <w:spacing w:after="0"/>
              <w:rPr>
                <w:sz w:val="20"/>
                <w:szCs w:val="20"/>
                <w:color w:val="auto"/>
              </w:rPr>
            </w:pPr>
            <w:r>
              <w:rPr>
                <w:rFonts w:ascii="Arial" w:cs="Arial" w:eastAsia="Arial" w:hAnsi="Arial"/>
                <w:sz w:val="22"/>
                <w:szCs w:val="22"/>
                <w:color w:val="auto"/>
              </w:rPr>
              <w:t>General and administrative expenses</w:t>
            </w:r>
          </w:p>
        </w:tc>
        <w:tc>
          <w:tcPr>
            <w:tcW w:w="3840" w:type="dxa"/>
            <w:vAlign w:val="bottom"/>
          </w:tcPr>
          <w:p>
            <w:pPr>
              <w:jc w:val="right"/>
              <w:ind w:right="812"/>
              <w:spacing w:after="0"/>
              <w:rPr>
                <w:sz w:val="20"/>
                <w:szCs w:val="20"/>
                <w:color w:val="auto"/>
              </w:rPr>
            </w:pPr>
            <w:r>
              <w:rPr>
                <w:rFonts w:ascii="Arial" w:cs="Arial" w:eastAsia="Arial" w:hAnsi="Arial"/>
                <w:sz w:val="22"/>
                <w:szCs w:val="22"/>
                <w:color w:val="auto"/>
              </w:rPr>
              <w:t>2,542</w:t>
            </w:r>
          </w:p>
        </w:tc>
        <w:tc>
          <w:tcPr>
            <w:tcW w:w="1880" w:type="dxa"/>
            <w:vAlign w:val="bottom"/>
          </w:tcPr>
          <w:p>
            <w:pPr>
              <w:jc w:val="right"/>
              <w:spacing w:after="0"/>
              <w:rPr>
                <w:sz w:val="20"/>
                <w:szCs w:val="20"/>
                <w:color w:val="auto"/>
              </w:rPr>
            </w:pPr>
            <w:r>
              <w:rPr>
                <w:rFonts w:ascii="Arial" w:cs="Arial" w:eastAsia="Arial" w:hAnsi="Arial"/>
                <w:sz w:val="22"/>
                <w:szCs w:val="22"/>
                <w:color w:val="auto"/>
              </w:rPr>
              <w:t>1,595</w:t>
            </w:r>
          </w:p>
        </w:tc>
      </w:tr>
      <w:tr>
        <w:trPr>
          <w:trHeight w:val="276"/>
        </w:trPr>
        <w:tc>
          <w:tcPr>
            <w:tcW w:w="5480" w:type="dxa"/>
            <w:vAlign w:val="bottom"/>
          </w:tcPr>
          <w:p>
            <w:pPr>
              <w:spacing w:after="0"/>
              <w:rPr>
                <w:sz w:val="20"/>
                <w:szCs w:val="20"/>
                <w:color w:val="auto"/>
              </w:rPr>
            </w:pPr>
            <w:r>
              <w:rPr>
                <w:rFonts w:ascii="Arial" w:cs="Arial" w:eastAsia="Arial" w:hAnsi="Arial"/>
                <w:sz w:val="22"/>
                <w:szCs w:val="22"/>
                <w:b w:val="1"/>
                <w:bCs w:val="1"/>
                <w:color w:val="auto"/>
              </w:rPr>
              <w:t>Operation loss</w:t>
            </w:r>
          </w:p>
        </w:tc>
        <w:tc>
          <w:tcPr>
            <w:tcW w:w="3840" w:type="dxa"/>
            <w:vAlign w:val="bottom"/>
          </w:tcPr>
          <w:p>
            <w:pPr>
              <w:jc w:val="right"/>
              <w:ind w:right="812"/>
              <w:spacing w:after="0"/>
              <w:rPr>
                <w:sz w:val="20"/>
                <w:szCs w:val="20"/>
                <w:color w:val="auto"/>
              </w:rPr>
            </w:pPr>
            <w:r>
              <w:rPr>
                <w:rFonts w:ascii="Arial" w:cs="Arial" w:eastAsia="Arial" w:hAnsi="Arial"/>
                <w:sz w:val="22"/>
                <w:szCs w:val="22"/>
                <w:b w:val="1"/>
                <w:bCs w:val="1"/>
                <w:color w:val="auto"/>
              </w:rPr>
              <w:t>(6,394)</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(6,399)</w:t>
            </w: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Finance income</w:t>
            </w:r>
          </w:p>
        </w:tc>
        <w:tc>
          <w:tcPr>
            <w:tcW w:w="3840" w:type="dxa"/>
            <w:vAlign w:val="bottom"/>
          </w:tcPr>
          <w:p>
            <w:pPr>
              <w:jc w:val="right"/>
              <w:ind w:right="812"/>
              <w:spacing w:after="0"/>
              <w:rPr>
                <w:sz w:val="20"/>
                <w:szCs w:val="20"/>
                <w:color w:val="auto"/>
              </w:rPr>
            </w:pPr>
            <w:r>
              <w:rPr>
                <w:rFonts w:ascii="Arial" w:cs="Arial" w:eastAsia="Arial" w:hAnsi="Arial"/>
                <w:sz w:val="22"/>
                <w:szCs w:val="22"/>
                <w:color w:val="auto"/>
              </w:rPr>
              <w:t>285</w:t>
            </w:r>
          </w:p>
        </w:tc>
        <w:tc>
          <w:tcPr>
            <w:tcW w:w="1880" w:type="dxa"/>
            <w:vAlign w:val="bottom"/>
          </w:tcPr>
          <w:p>
            <w:pPr>
              <w:jc w:val="right"/>
              <w:spacing w:after="0"/>
              <w:rPr>
                <w:sz w:val="20"/>
                <w:szCs w:val="20"/>
                <w:color w:val="auto"/>
              </w:rPr>
            </w:pPr>
            <w:r>
              <w:rPr>
                <w:rFonts w:ascii="Arial" w:cs="Arial" w:eastAsia="Arial" w:hAnsi="Arial"/>
                <w:sz w:val="22"/>
                <w:szCs w:val="22"/>
                <w:color w:val="auto"/>
              </w:rPr>
              <w:t>519</w:t>
            </w:r>
          </w:p>
        </w:tc>
      </w:tr>
      <w:tr>
        <w:trPr>
          <w:trHeight w:val="264"/>
        </w:trPr>
        <w:tc>
          <w:tcPr>
            <w:tcW w:w="5480" w:type="dxa"/>
            <w:vAlign w:val="bottom"/>
          </w:tcPr>
          <w:p>
            <w:pPr>
              <w:spacing w:after="0"/>
              <w:rPr>
                <w:sz w:val="20"/>
                <w:szCs w:val="20"/>
                <w:color w:val="auto"/>
              </w:rPr>
            </w:pPr>
            <w:r>
              <w:rPr>
                <w:rFonts w:ascii="Arial" w:cs="Arial" w:eastAsia="Arial" w:hAnsi="Arial"/>
                <w:sz w:val="22"/>
                <w:szCs w:val="22"/>
                <w:color w:val="auto"/>
              </w:rPr>
              <w:t>Finance expenses</w:t>
            </w:r>
          </w:p>
        </w:tc>
        <w:tc>
          <w:tcPr>
            <w:tcW w:w="3840" w:type="dxa"/>
            <w:vAlign w:val="bottom"/>
          </w:tcPr>
          <w:p>
            <w:pPr>
              <w:jc w:val="right"/>
              <w:ind w:right="812"/>
              <w:spacing w:after="0"/>
              <w:rPr>
                <w:sz w:val="20"/>
                <w:szCs w:val="20"/>
                <w:color w:val="auto"/>
              </w:rPr>
            </w:pPr>
            <w:r>
              <w:rPr>
                <w:rFonts w:ascii="Arial" w:cs="Arial" w:eastAsia="Arial" w:hAnsi="Arial"/>
                <w:sz w:val="22"/>
                <w:szCs w:val="22"/>
                <w:color w:val="auto"/>
              </w:rPr>
              <w:t>(326)</w:t>
            </w:r>
          </w:p>
        </w:tc>
        <w:tc>
          <w:tcPr>
            <w:tcW w:w="1880" w:type="dxa"/>
            <w:vAlign w:val="bottom"/>
          </w:tcPr>
          <w:p>
            <w:pPr>
              <w:jc w:val="right"/>
              <w:spacing w:after="0"/>
              <w:rPr>
                <w:sz w:val="20"/>
                <w:szCs w:val="20"/>
                <w:color w:val="auto"/>
              </w:rPr>
            </w:pPr>
            <w:r>
              <w:rPr>
                <w:rFonts w:ascii="Arial" w:cs="Arial" w:eastAsia="Arial" w:hAnsi="Arial"/>
                <w:sz w:val="22"/>
                <w:szCs w:val="22"/>
                <w:color w:val="auto"/>
              </w:rPr>
              <w:t>(158)</w:t>
            </w:r>
          </w:p>
        </w:tc>
      </w:tr>
      <w:tr>
        <w:trPr>
          <w:trHeight w:val="276"/>
        </w:trPr>
        <w:tc>
          <w:tcPr>
            <w:tcW w:w="5480" w:type="dxa"/>
            <w:vAlign w:val="bottom"/>
          </w:tcPr>
          <w:p>
            <w:pPr>
              <w:spacing w:after="0"/>
              <w:rPr>
                <w:sz w:val="20"/>
                <w:szCs w:val="20"/>
                <w:color w:val="auto"/>
              </w:rPr>
            </w:pPr>
            <w:r>
              <w:rPr>
                <w:rFonts w:ascii="Arial" w:cs="Arial" w:eastAsia="Arial" w:hAnsi="Arial"/>
                <w:sz w:val="22"/>
                <w:szCs w:val="22"/>
                <w:b w:val="1"/>
                <w:bCs w:val="1"/>
                <w:color w:val="auto"/>
              </w:rPr>
              <w:t>Net loss before tax</w:t>
            </w:r>
          </w:p>
        </w:tc>
        <w:tc>
          <w:tcPr>
            <w:tcW w:w="3840" w:type="dxa"/>
            <w:vAlign w:val="bottom"/>
          </w:tcPr>
          <w:p>
            <w:pPr>
              <w:jc w:val="right"/>
              <w:ind w:right="812"/>
              <w:spacing w:after="0"/>
              <w:rPr>
                <w:sz w:val="20"/>
                <w:szCs w:val="20"/>
                <w:color w:val="auto"/>
              </w:rPr>
            </w:pPr>
            <w:r>
              <w:rPr>
                <w:rFonts w:ascii="Arial" w:cs="Arial" w:eastAsia="Arial" w:hAnsi="Arial"/>
                <w:sz w:val="22"/>
                <w:szCs w:val="22"/>
                <w:b w:val="1"/>
                <w:bCs w:val="1"/>
                <w:color w:val="auto"/>
              </w:rPr>
              <w:t>(6,435)</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(6,038)</w:t>
            </w:r>
          </w:p>
        </w:tc>
      </w:tr>
      <w:tr>
        <w:trPr>
          <w:trHeight w:val="264"/>
        </w:trPr>
        <w:tc>
          <w:tcPr>
            <w:tcW w:w="5480" w:type="dxa"/>
            <w:vAlign w:val="bottom"/>
          </w:tcPr>
          <w:p>
            <w:pPr>
              <w:spacing w:after="0"/>
              <w:rPr>
                <w:sz w:val="20"/>
                <w:szCs w:val="20"/>
                <w:color w:val="auto"/>
              </w:rPr>
            </w:pPr>
            <w:r>
              <w:rPr>
                <w:rFonts w:ascii="Arial" w:cs="Arial" w:eastAsia="Arial" w:hAnsi="Arial"/>
                <w:sz w:val="22"/>
                <w:szCs w:val="22"/>
                <w:color w:val="auto"/>
              </w:rPr>
              <w:t>Income tax benefit</w:t>
            </w:r>
          </w:p>
        </w:tc>
        <w:tc>
          <w:tcPr>
            <w:tcW w:w="3840" w:type="dxa"/>
            <w:vAlign w:val="bottom"/>
          </w:tcPr>
          <w:p>
            <w:pPr>
              <w:jc w:val="right"/>
              <w:ind w:right="812"/>
              <w:spacing w:after="0"/>
              <w:rPr>
                <w:sz w:val="20"/>
                <w:szCs w:val="20"/>
                <w:color w:val="auto"/>
              </w:rPr>
            </w:pPr>
            <w:r>
              <w:rPr>
                <w:rFonts w:ascii="Arial" w:cs="Arial" w:eastAsia="Arial" w:hAnsi="Arial"/>
                <w:sz w:val="22"/>
                <w:szCs w:val="22"/>
                <w:color w:val="auto"/>
              </w:rPr>
              <w:t>194</w:t>
            </w:r>
          </w:p>
        </w:tc>
        <w:tc>
          <w:tcPr>
            <w:tcW w:w="1880" w:type="dxa"/>
            <w:vAlign w:val="bottom"/>
          </w:tcPr>
          <w:p>
            <w:pPr>
              <w:jc w:val="right"/>
              <w:spacing w:after="0"/>
              <w:rPr>
                <w:sz w:val="20"/>
                <w:szCs w:val="20"/>
                <w:color w:val="auto"/>
              </w:rPr>
            </w:pPr>
            <w:r>
              <w:rPr>
                <w:rFonts w:ascii="Arial" w:cs="Arial" w:eastAsia="Arial" w:hAnsi="Arial"/>
                <w:sz w:val="22"/>
                <w:szCs w:val="22"/>
                <w:color w:val="auto"/>
              </w:rPr>
              <w:t>247</w:t>
            </w:r>
          </w:p>
        </w:tc>
      </w:tr>
      <w:tr>
        <w:trPr>
          <w:trHeight w:val="270"/>
        </w:trPr>
        <w:tc>
          <w:tcPr>
            <w:tcW w:w="5480" w:type="dxa"/>
            <w:vAlign w:val="bottom"/>
          </w:tcPr>
          <w:p>
            <w:pPr>
              <w:spacing w:after="0"/>
              <w:rPr>
                <w:sz w:val="20"/>
                <w:szCs w:val="20"/>
                <w:color w:val="auto"/>
              </w:rPr>
            </w:pPr>
            <w:r>
              <w:rPr>
                <w:rFonts w:ascii="Arial" w:cs="Arial" w:eastAsia="Arial" w:hAnsi="Arial"/>
                <w:sz w:val="22"/>
                <w:szCs w:val="22"/>
                <w:b w:val="1"/>
                <w:bCs w:val="1"/>
                <w:color w:val="auto"/>
              </w:rPr>
              <w:t>Not loss for the period</w:t>
            </w:r>
          </w:p>
        </w:tc>
        <w:tc>
          <w:tcPr>
            <w:tcW w:w="3840" w:type="dxa"/>
            <w:vAlign w:val="bottom"/>
          </w:tcPr>
          <w:p>
            <w:pPr>
              <w:jc w:val="right"/>
              <w:ind w:right="812"/>
              <w:spacing w:after="0"/>
              <w:rPr>
                <w:sz w:val="20"/>
                <w:szCs w:val="20"/>
                <w:color w:val="auto"/>
              </w:rPr>
            </w:pPr>
            <w:r>
              <w:rPr>
                <w:rFonts w:ascii="Arial" w:cs="Arial" w:eastAsia="Arial" w:hAnsi="Arial"/>
                <w:sz w:val="22"/>
                <w:szCs w:val="22"/>
                <w:b w:val="1"/>
                <w:bCs w:val="1"/>
                <w:color w:val="auto"/>
              </w:rPr>
              <w:t>$(6,241)</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$(5,791)</w:t>
            </w: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w w:val="91"/>
              </w:rPr>
              <w:t>Net loss attributable to equity holders of Evaxion Biotech</w:t>
            </w:r>
          </w:p>
        </w:tc>
        <w:tc>
          <w:tcPr>
            <w:tcW w:w="3840" w:type="dxa"/>
            <w:vAlign w:val="bottom"/>
          </w:tcPr>
          <w:p>
            <w:pPr>
              <w:jc w:val="right"/>
              <w:ind w:right="812"/>
              <w:spacing w:after="0" w:line="243" w:lineRule="exact"/>
              <w:rPr>
                <w:sz w:val="20"/>
                <w:szCs w:val="20"/>
                <w:color w:val="auto"/>
              </w:rPr>
            </w:pPr>
            <w:r>
              <w:rPr>
                <w:rFonts w:ascii="Arial" w:cs="Arial" w:eastAsia="Arial" w:hAnsi="Arial"/>
                <w:sz w:val="22"/>
                <w:szCs w:val="22"/>
                <w:b w:val="1"/>
                <w:bCs w:val="1"/>
                <w:color w:val="auto"/>
              </w:rPr>
              <w:t>$(6,241)</w:t>
            </w:r>
          </w:p>
        </w:tc>
        <w:tc>
          <w:tcPr>
            <w:tcW w:w="18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$(5,791)</w:t>
            </w:r>
          </w:p>
        </w:tc>
      </w:tr>
      <w:tr>
        <w:trPr>
          <w:trHeight w:val="276"/>
        </w:trPr>
        <w:tc>
          <w:tcPr>
            <w:tcW w:w="5480" w:type="dxa"/>
            <w:vAlign w:val="bottom"/>
          </w:tcPr>
          <w:p>
            <w:pPr>
              <w:spacing w:after="0"/>
              <w:rPr>
                <w:sz w:val="20"/>
                <w:szCs w:val="20"/>
                <w:color w:val="auto"/>
              </w:rPr>
            </w:pPr>
            <w:r>
              <w:rPr>
                <w:rFonts w:ascii="Arial" w:cs="Arial" w:eastAsia="Arial" w:hAnsi="Arial"/>
                <w:sz w:val="22"/>
                <w:szCs w:val="22"/>
                <w:b w:val="1"/>
                <w:bCs w:val="1"/>
                <w:color w:val="auto"/>
              </w:rPr>
              <w:t>A/S</w:t>
            </w:r>
          </w:p>
        </w:tc>
        <w:tc>
          <w:tcPr>
            <w:tcW w:w="38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Loss per share - basic and diluted</w:t>
            </w:r>
          </w:p>
        </w:tc>
        <w:tc>
          <w:tcPr>
            <w:tcW w:w="3840" w:type="dxa"/>
            <w:vAlign w:val="bottom"/>
          </w:tcPr>
          <w:p>
            <w:pPr>
              <w:jc w:val="right"/>
              <w:ind w:right="812"/>
              <w:spacing w:after="0"/>
              <w:rPr>
                <w:sz w:val="20"/>
                <w:szCs w:val="20"/>
                <w:color w:val="auto"/>
              </w:rPr>
            </w:pPr>
            <w:r>
              <w:rPr>
                <w:rFonts w:ascii="Arial" w:cs="Arial" w:eastAsia="Arial" w:hAnsi="Arial"/>
                <w:sz w:val="22"/>
                <w:szCs w:val="22"/>
                <w:color w:val="auto"/>
              </w:rPr>
              <w:t>$(0.24)</w:t>
            </w:r>
          </w:p>
        </w:tc>
        <w:tc>
          <w:tcPr>
            <w:tcW w:w="1880" w:type="dxa"/>
            <w:vAlign w:val="bottom"/>
          </w:tcPr>
          <w:p>
            <w:pPr>
              <w:jc w:val="right"/>
              <w:spacing w:after="0"/>
              <w:rPr>
                <w:sz w:val="20"/>
                <w:szCs w:val="20"/>
                <w:color w:val="auto"/>
              </w:rPr>
            </w:pPr>
            <w:r>
              <w:rPr>
                <w:rFonts w:ascii="Arial" w:cs="Arial" w:eastAsia="Arial" w:hAnsi="Arial"/>
                <w:sz w:val="22"/>
                <w:szCs w:val="22"/>
                <w:color w:val="auto"/>
              </w:rPr>
              <w:t>$(0.25)</w:t>
            </w:r>
          </w:p>
        </w:tc>
      </w:tr>
      <w:tr>
        <w:trPr>
          <w:trHeight w:val="274"/>
        </w:trPr>
        <w:tc>
          <w:tcPr>
            <w:tcW w:w="5480" w:type="dxa"/>
            <w:vAlign w:val="bottom"/>
          </w:tcPr>
          <w:p>
            <w:pPr>
              <w:spacing w:after="0"/>
              <w:rPr>
                <w:sz w:val="20"/>
                <w:szCs w:val="20"/>
                <w:color w:val="auto"/>
              </w:rPr>
            </w:pPr>
            <w:r>
              <w:rPr>
                <w:rFonts w:ascii="Arial" w:cs="Arial" w:eastAsia="Arial" w:hAnsi="Arial"/>
                <w:sz w:val="22"/>
                <w:szCs w:val="22"/>
                <w:color w:val="auto"/>
                <w:w w:val="98"/>
              </w:rPr>
              <w:t>Number of shares used for calculation (basic and diluted)</w:t>
            </w:r>
          </w:p>
        </w:tc>
        <w:tc>
          <w:tcPr>
            <w:tcW w:w="3840" w:type="dxa"/>
            <w:vAlign w:val="bottom"/>
          </w:tcPr>
          <w:p>
            <w:pPr>
              <w:jc w:val="right"/>
              <w:ind w:right="812"/>
              <w:spacing w:after="0"/>
              <w:rPr>
                <w:sz w:val="20"/>
                <w:szCs w:val="20"/>
                <w:color w:val="auto"/>
              </w:rPr>
            </w:pPr>
            <w:r>
              <w:rPr>
                <w:rFonts w:ascii="Arial" w:cs="Arial" w:eastAsia="Arial" w:hAnsi="Arial"/>
                <w:sz w:val="22"/>
                <w:szCs w:val="22"/>
                <w:color w:val="auto"/>
              </w:rPr>
              <w:t>25,783,847</w:t>
            </w:r>
          </w:p>
        </w:tc>
        <w:tc>
          <w:tcPr>
            <w:tcW w:w="1880" w:type="dxa"/>
            <w:vAlign w:val="bottom"/>
          </w:tcPr>
          <w:p>
            <w:pPr>
              <w:jc w:val="right"/>
              <w:spacing w:after="0"/>
              <w:rPr>
                <w:sz w:val="20"/>
                <w:szCs w:val="20"/>
                <w:color w:val="auto"/>
              </w:rPr>
            </w:pPr>
            <w:r>
              <w:rPr>
                <w:rFonts w:ascii="Arial" w:cs="Arial" w:eastAsia="Arial" w:hAnsi="Arial"/>
                <w:sz w:val="22"/>
                <w:szCs w:val="22"/>
                <w:color w:val="auto"/>
              </w:rPr>
              <w:t>23,203,808</w:t>
            </w:r>
          </w:p>
        </w:tc>
      </w:tr>
    </w:tbl>
    <w:p>
      <w:pPr>
        <w:spacing w:after="0" w:line="198"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As mentioned 31. December 2022 the financial statement had been prepared using the going concern assumption. Based on the Company’s current cash position, with a cash runway until early December 2023, there is a need for further funding, to mitigate the Company’s ability to continue as a going concern.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w:t>
      </w:r>
    </w:p>
    <w:p>
      <w:pPr>
        <w:spacing w:after="0" w:line="238" w:lineRule="auto"/>
        <w:rPr>
          <w:sz w:val="20"/>
          <w:szCs w:val="20"/>
          <w:color w:val="auto"/>
        </w:rPr>
      </w:pPr>
      <w:r>
        <w:rPr>
          <w:rFonts w:ascii="Arial" w:cs="Arial" w:eastAsia="Arial" w:hAnsi="Arial"/>
          <w:sz w:val="22"/>
          <w:szCs w:val="22"/>
          <w:color w:val="auto"/>
        </w:rPr>
        <w:t>Evaxion Biotech A/S</w:t>
      </w:r>
    </w:p>
    <w:p>
      <w:pPr>
        <w:spacing w:after="0" w:line="230" w:lineRule="auto"/>
        <w:rPr>
          <w:sz w:val="20"/>
          <w:szCs w:val="20"/>
          <w:color w:val="auto"/>
        </w:rPr>
      </w:pPr>
      <w:r>
        <w:rPr>
          <w:rFonts w:ascii="Arial" w:cs="Arial" w:eastAsia="Arial" w:hAnsi="Arial"/>
          <w:sz w:val="22"/>
          <w:szCs w:val="22"/>
          <w:color w:val="auto"/>
        </w:rPr>
        <w:t>Per Norlén</w:t>
      </w:r>
    </w:p>
    <w:p>
      <w:pPr>
        <w:spacing w:after="0" w:line="231" w:lineRule="auto"/>
        <w:rPr>
          <w:sz w:val="20"/>
          <w:szCs w:val="20"/>
          <w:color w:val="auto"/>
        </w:rPr>
      </w:pPr>
      <w:r>
        <w:rPr>
          <w:rFonts w:ascii="Arial" w:cs="Arial" w:eastAsia="Arial" w:hAnsi="Arial"/>
          <w:sz w:val="22"/>
          <w:szCs w:val="22"/>
          <w:color w:val="auto"/>
        </w:rPr>
        <w:t>Chief Executive Officer</w:t>
      </w:r>
    </w:p>
    <w:p>
      <w:pPr>
        <w:spacing w:after="0" w:line="230" w:lineRule="auto"/>
        <w:rPr>
          <w:sz w:val="20"/>
          <w:szCs w:val="20"/>
          <w:color w:val="auto"/>
        </w:rPr>
      </w:pPr>
      <w:r>
        <w:rPr>
          <w:rFonts w:ascii="Arial" w:cs="Arial" w:eastAsia="Arial" w:hAnsi="Arial"/>
          <w:sz w:val="22"/>
          <w:szCs w:val="22"/>
          <w:color w:val="auto"/>
        </w:rPr>
        <w:t>pno@evaxion-biotech.com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+45 53 53 49</w:t>
      </w:r>
    </w:p>
    <w:sectPr>
      <w:pgSz w:w="11900" w:h="16838" w:orient="portrait"/>
      <w:cols w:equalWidth="0" w:num="1">
        <w:col w:w="11220"/>
      </w:cols>
      <w:pgMar w:left="32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2023-05-31T07:38:58Z</dcterms:created>
  <dcterms:modified xsi:type="dcterms:W3CDTF">2023-05-31T07:38:58Z</dcterms:modified>
</cp:coreProperties>
</file>