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483235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85725</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108585</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13a-16 OR 15d-16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month of November 2021</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001-39950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106045</wp:posOffset>
            </wp:positionV>
            <wp:extent cx="14058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Evaxion Biotech A/S</w:t>
      </w:r>
    </w:p>
    <w:p>
      <w:pPr>
        <w:spacing w:after="0" w:line="11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234950</wp:posOffset>
            </wp:positionV>
            <wp:extent cx="1405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Dr. Neergaards Vej 5f</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DK-2970 Hoersholm</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Denmark</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208915</wp:posOffset>
            </wp:positionV>
            <wp:extent cx="1405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ind w:left="6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5" w:lineRule="exact"/>
        <w:rPr>
          <w:sz w:val="24"/>
          <w:szCs w:val="24"/>
          <w:color w:val="auto"/>
        </w:rPr>
      </w:pPr>
    </w:p>
    <w:p>
      <w:pPr>
        <w:ind w:left="3360"/>
        <w:spacing w:after="0" w:line="207" w:lineRule="exact"/>
        <w:tabs>
          <w:tab w:leader="none" w:pos="46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177" w:lineRule="exact"/>
        <w:rPr>
          <w:sz w:val="24"/>
          <w:szCs w:val="24"/>
          <w:color w:val="auto"/>
        </w:rPr>
      </w:pPr>
    </w:p>
    <w:p>
      <w:pPr>
        <w:ind w:left="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w:t>
      </w:r>
    </w:p>
    <w:p>
      <w:pPr>
        <w:spacing w:after="0" w:line="41" w:lineRule="exact"/>
        <w:rPr>
          <w:sz w:val="24"/>
          <w:szCs w:val="24"/>
          <w:color w:val="auto"/>
        </w:rPr>
      </w:pPr>
    </w:p>
    <w:p>
      <w:pPr>
        <w:ind w:left="60"/>
        <w:spacing w:after="0" w:line="207" w:lineRule="exact"/>
        <w:rPr>
          <w:sz w:val="20"/>
          <w:szCs w:val="20"/>
          <w:color w:val="auto"/>
        </w:rPr>
      </w:pPr>
      <w:r>
        <w:rPr>
          <w:rFonts w:ascii="Arial" w:cs="Arial" w:eastAsia="Arial" w:hAnsi="Arial"/>
          <w:sz w:val="18"/>
          <w:szCs w:val="18"/>
          <w:color w:val="auto"/>
        </w:rPr>
        <w:t xml:space="preserve">(1): </w:t>
      </w:r>
      <w:r>
        <w:rPr>
          <w:rFonts w:ascii="MS PGothic" w:cs="MS PGothic" w:eastAsia="MS PGothic" w:hAnsi="MS PGothic"/>
          <w:sz w:val="18"/>
          <w:szCs w:val="18"/>
          <w:color w:val="auto"/>
        </w:rPr>
        <w:t>☐</w:t>
      </w:r>
    </w:p>
    <w:p>
      <w:pPr>
        <w:spacing w:after="0" w:line="148" w:lineRule="exact"/>
        <w:rPr>
          <w:sz w:val="24"/>
          <w:szCs w:val="24"/>
          <w:color w:val="auto"/>
        </w:rPr>
      </w:pPr>
    </w:p>
    <w:p>
      <w:pPr>
        <w:ind w:left="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w:t>
      </w:r>
    </w:p>
    <w:p>
      <w:pPr>
        <w:spacing w:after="0" w:line="41" w:lineRule="exact"/>
        <w:rPr>
          <w:sz w:val="24"/>
          <w:szCs w:val="24"/>
          <w:color w:val="auto"/>
        </w:rPr>
      </w:pPr>
    </w:p>
    <w:p>
      <w:pPr>
        <w:ind w:left="60"/>
        <w:spacing w:after="0" w:line="207" w:lineRule="exact"/>
        <w:rPr>
          <w:sz w:val="20"/>
          <w:szCs w:val="20"/>
          <w:color w:val="auto"/>
        </w:rPr>
      </w:pPr>
      <w:r>
        <w:rPr>
          <w:rFonts w:ascii="Arial" w:cs="Arial" w:eastAsia="Arial" w:hAnsi="Arial"/>
          <w:sz w:val="18"/>
          <w:szCs w:val="18"/>
          <w:color w:val="auto"/>
        </w:rPr>
        <w:t xml:space="preserve">(7):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840740</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163195</wp:posOffset>
            </wp:positionV>
            <wp:extent cx="56578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189230</wp:posOffset>
            </wp:positionV>
            <wp:extent cx="565785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85" w:right="1440" w:bottom="1440" w:gutter="0" w:footer="0" w:header="0"/>
        </w:sectPr>
      </w:pPr>
    </w:p>
    <w:bookmarkStart w:id="1" w:name="page2"/>
    <w:bookmarkEnd w:id="1"/>
    <w:p>
      <w:pPr>
        <w:ind w:left="60" w:right="359"/>
        <w:spacing w:after="0" w:line="342" w:lineRule="auto"/>
        <w:rPr>
          <w:sz w:val="20"/>
          <w:szCs w:val="20"/>
          <w:color w:val="auto"/>
        </w:rPr>
      </w:pPr>
      <w:r>
        <w:rPr>
          <w:rFonts w:ascii="Arial" w:cs="Arial" w:eastAsia="Arial" w:hAnsi="Arial"/>
          <w:sz w:val="16"/>
          <w:szCs w:val="16"/>
          <w:color w:val="auto"/>
        </w:rPr>
        <w:t>Furnished as Exhibit 99.1 to this Report on Form 6-K is a press release of Evaxion Biotech A/S (the “Company”) dated November 9, 2021, announcing the Company’s financial results for the three months ended September 30, 2021</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Exhibits</w:t>
      </w:r>
    </w:p>
    <w:p>
      <w:pPr>
        <w:spacing w:after="0" w:line="2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280"/>
        <w:spacing w:after="0"/>
        <w:tabs>
          <w:tab w:leader="none" w:pos="100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04" w:lineRule="exact"/>
        <w:rPr>
          <w:sz w:val="20"/>
          <w:szCs w:val="20"/>
          <w:color w:val="auto"/>
        </w:rPr>
      </w:pPr>
    </w:p>
    <w:p>
      <w:pPr>
        <w:ind w:left="260"/>
        <w:spacing w:after="0"/>
        <w:tabs>
          <w:tab w:leader="none" w:pos="100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November 9,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640715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5800" w:type="dxa"/>
            <w:vAlign w:val="bottom"/>
            <w:gridSpan w:val="3"/>
          </w:tcPr>
          <w:p>
            <w:pPr>
              <w:ind w:left="1340"/>
              <w:spacing w:after="0"/>
              <w:rPr>
                <w:sz w:val="20"/>
                <w:szCs w:val="20"/>
                <w:color w:val="auto"/>
              </w:rPr>
            </w:pPr>
            <w:r>
              <w:rPr>
                <w:rFonts w:ascii="Arial" w:cs="Arial" w:eastAsia="Arial" w:hAnsi="Arial"/>
                <w:sz w:val="18"/>
                <w:szCs w:val="18"/>
                <w:b w:val="1"/>
                <w:bCs w:val="1"/>
                <w:color w:val="auto"/>
              </w:rPr>
              <w:t>Evaxion Biotech A/S</w:t>
            </w:r>
          </w:p>
        </w:tc>
      </w:tr>
      <w:tr>
        <w:trPr>
          <w:trHeight w:val="432"/>
        </w:trPr>
        <w:tc>
          <w:tcPr>
            <w:tcW w:w="3120" w:type="dxa"/>
            <w:vAlign w:val="bottom"/>
          </w:tcPr>
          <w:p>
            <w:pPr>
              <w:ind w:left="20"/>
              <w:spacing w:after="0"/>
              <w:rPr>
                <w:sz w:val="20"/>
                <w:szCs w:val="20"/>
                <w:color w:val="auto"/>
              </w:rPr>
            </w:pPr>
            <w:r>
              <w:rPr>
                <w:rFonts w:ascii="Arial" w:cs="Arial" w:eastAsia="Arial" w:hAnsi="Arial"/>
                <w:sz w:val="18"/>
                <w:szCs w:val="18"/>
                <w:color w:val="auto"/>
              </w:rPr>
              <w:t>Date: November 9, 2021</w:t>
            </w:r>
          </w:p>
        </w:tc>
        <w:tc>
          <w:tcPr>
            <w:tcW w:w="5800" w:type="dxa"/>
            <w:vAlign w:val="bottom"/>
            <w:gridSpan w:val="3"/>
          </w:tcPr>
          <w:p>
            <w:pPr>
              <w:ind w:left="1340"/>
              <w:spacing w:after="0"/>
              <w:rPr>
                <w:sz w:val="20"/>
                <w:szCs w:val="20"/>
                <w:color w:val="auto"/>
              </w:rPr>
            </w:pPr>
            <w:r>
              <w:rPr>
                <w:rFonts w:ascii="Arial" w:cs="Arial" w:eastAsia="Arial" w:hAnsi="Arial"/>
                <w:sz w:val="18"/>
                <w:szCs w:val="18"/>
                <w:color w:val="auto"/>
              </w:rPr>
              <w:t>By: /s/ Lori Hollander</w:t>
            </w:r>
          </w:p>
        </w:tc>
      </w:tr>
      <w:tr>
        <w:trPr>
          <w:trHeight w:val="195"/>
        </w:trPr>
        <w:tc>
          <w:tcPr>
            <w:tcW w:w="3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Lori Hollander</w:t>
            </w:r>
          </w:p>
        </w:tc>
        <w:tc>
          <w:tcPr>
            <w:tcW w:w="20" w:type="dxa"/>
            <w:vAlign w:val="bottom"/>
          </w:tcPr>
          <w:p>
            <w:pPr>
              <w:spacing w:after="0"/>
              <w:rPr>
                <w:sz w:val="16"/>
                <w:szCs w:val="16"/>
                <w:color w:val="auto"/>
              </w:rPr>
            </w:pPr>
          </w:p>
        </w:tc>
      </w:tr>
      <w:tr>
        <w:trPr>
          <w:trHeight w:val="230"/>
        </w:trPr>
        <w:tc>
          <w:tcPr>
            <w:tcW w:w="3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Vice President, Financial Planning &amp; Analysis</w:t>
            </w:r>
          </w:p>
        </w:tc>
      </w:tr>
      <w:tr>
        <w:trPr>
          <w:trHeight w:val="992"/>
        </w:trPr>
        <w:tc>
          <w:tcPr>
            <w:tcW w:w="3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3" w:name="page4"/>
    <w:bookmarkEnd w:id="3"/>
    <w:p>
      <w:pPr>
        <w:jc w:val="right"/>
        <w:ind w:right="59"/>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146050</wp:posOffset>
            </wp:positionV>
            <wp:extent cx="2100580" cy="7289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0058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auto"/>
        </w:rPr>
        <w:t>Evaxion Biotech Announces Q3 2021 Financial Results and Provides Business Update</w:t>
      </w:r>
    </w:p>
    <w:p>
      <w:pPr>
        <w:spacing w:after="0" w:line="246" w:lineRule="exact"/>
        <w:rPr>
          <w:sz w:val="20"/>
          <w:szCs w:val="20"/>
          <w:color w:val="auto"/>
        </w:rPr>
      </w:pPr>
    </w:p>
    <w:p>
      <w:pPr>
        <w:jc w:val="both"/>
        <w:ind w:left="700" w:right="239" w:hanging="326"/>
        <w:spacing w:after="0" w:line="225" w:lineRule="auto"/>
        <w:tabs>
          <w:tab w:leader="none" w:pos="700" w:val="left"/>
        </w:tabs>
        <w:numPr>
          <w:ilvl w:val="0"/>
          <w:numId w:val="1"/>
        </w:numPr>
        <w:rPr>
          <w:rFonts w:ascii="Arial" w:cs="Arial" w:eastAsia="Arial" w:hAnsi="Arial"/>
          <w:sz w:val="18"/>
          <w:szCs w:val="18"/>
          <w:color w:val="auto"/>
        </w:rPr>
      </w:pPr>
      <w:r>
        <w:rPr>
          <w:rFonts w:ascii="Arial" w:cs="Arial" w:eastAsia="Arial" w:hAnsi="Arial"/>
          <w:sz w:val="20"/>
          <w:szCs w:val="20"/>
          <w:color w:val="auto"/>
        </w:rPr>
        <w:t>Expect to close our follow-on public offering (FPO) of 3,942,856 ordinary shares represented by American Depository Shares (ADSs) for gross proceeds of $27.6 million before deducting underwriter fees and commissions and other offering expenses</w:t>
      </w:r>
    </w:p>
    <w:p>
      <w:pPr>
        <w:spacing w:after="0" w:line="1" w:lineRule="exact"/>
        <w:rPr>
          <w:rFonts w:ascii="Arial" w:cs="Arial" w:eastAsia="Arial" w:hAnsi="Arial"/>
          <w:sz w:val="18"/>
          <w:szCs w:val="18"/>
          <w:color w:val="auto"/>
        </w:rPr>
      </w:pPr>
    </w:p>
    <w:p>
      <w:pPr>
        <w:jc w:val="both"/>
        <w:ind w:left="700" w:right="299" w:hanging="326"/>
        <w:spacing w:after="0" w:line="225" w:lineRule="auto"/>
        <w:tabs>
          <w:tab w:leader="none" w:pos="700" w:val="left"/>
        </w:tabs>
        <w:numPr>
          <w:ilvl w:val="0"/>
          <w:numId w:val="1"/>
        </w:numPr>
        <w:rPr>
          <w:rFonts w:ascii="Arial" w:cs="Arial" w:eastAsia="Arial" w:hAnsi="Arial"/>
          <w:sz w:val="18"/>
          <w:szCs w:val="18"/>
          <w:color w:val="auto"/>
        </w:rPr>
      </w:pPr>
      <w:r>
        <w:rPr>
          <w:rFonts w:ascii="Arial" w:cs="Arial" w:eastAsia="Arial" w:hAnsi="Arial"/>
          <w:sz w:val="20"/>
          <w:szCs w:val="20"/>
          <w:color w:val="auto"/>
        </w:rPr>
        <w:t>Data reported in early July 2021 from EVX-01 Phase 1/2a clinical trial showed a robust anti-tumor effect in combination with anti-PD-1 treatment for patients with metastatic melanoma, supporting advancement into a Phase 2b clinical trial</w:t>
      </w:r>
    </w:p>
    <w:p>
      <w:pPr>
        <w:spacing w:after="0" w:line="1" w:lineRule="exact"/>
        <w:rPr>
          <w:rFonts w:ascii="Arial" w:cs="Arial" w:eastAsia="Arial" w:hAnsi="Arial"/>
          <w:sz w:val="18"/>
          <w:szCs w:val="18"/>
          <w:color w:val="auto"/>
        </w:rPr>
      </w:pPr>
    </w:p>
    <w:p>
      <w:pPr>
        <w:ind w:left="700" w:right="559" w:hanging="326"/>
        <w:spacing w:after="0" w:line="236" w:lineRule="auto"/>
        <w:tabs>
          <w:tab w:leader="none" w:pos="700" w:val="left"/>
        </w:tabs>
        <w:numPr>
          <w:ilvl w:val="0"/>
          <w:numId w:val="1"/>
        </w:numPr>
        <w:rPr>
          <w:rFonts w:ascii="Arial" w:cs="Arial" w:eastAsia="Arial" w:hAnsi="Arial"/>
          <w:sz w:val="18"/>
          <w:szCs w:val="18"/>
          <w:color w:val="auto"/>
        </w:rPr>
      </w:pPr>
      <w:r>
        <w:rPr>
          <w:rFonts w:ascii="Arial" w:cs="Arial" w:eastAsia="Arial" w:hAnsi="Arial"/>
          <w:sz w:val="20"/>
          <w:szCs w:val="20"/>
          <w:color w:val="auto"/>
        </w:rPr>
        <w:t>Data also reported in early July 2021 from the EVX-02 clinical trial in adjuvant melanoma support advancing into a Phase 2b clinical trial</w:t>
      </w:r>
    </w:p>
    <w:p>
      <w:pPr>
        <w:spacing w:after="0" w:line="172" w:lineRule="exact"/>
        <w:rPr>
          <w:sz w:val="20"/>
          <w:szCs w:val="20"/>
          <w:color w:val="auto"/>
        </w:rPr>
      </w:pPr>
    </w:p>
    <w:p>
      <w:pPr>
        <w:jc w:val="both"/>
        <w:ind w:left="60" w:right="179"/>
        <w:spacing w:after="0" w:line="252" w:lineRule="auto"/>
        <w:rPr>
          <w:sz w:val="20"/>
          <w:szCs w:val="20"/>
          <w:color w:val="auto"/>
        </w:rPr>
      </w:pPr>
      <w:r>
        <w:rPr>
          <w:rFonts w:ascii="Arial" w:cs="Arial" w:eastAsia="Arial" w:hAnsi="Arial"/>
          <w:sz w:val="19"/>
          <w:szCs w:val="19"/>
          <w:b w:val="1"/>
          <w:bCs w:val="1"/>
          <w:color w:val="auto"/>
        </w:rPr>
        <w:t xml:space="preserve">Copenhagen, Denmark, November 9, 2021 </w:t>
      </w:r>
      <w:r>
        <w:rPr>
          <w:rFonts w:ascii="Arial" w:cs="Arial" w:eastAsia="Arial" w:hAnsi="Arial"/>
          <w:sz w:val="19"/>
          <w:szCs w:val="19"/>
          <w:color w:val="auto"/>
        </w:rPr>
        <w:t>– Evaxion Biotech A/S (NASDAQ: EVAX) (“Evaxion” or</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a clinical-stage biotechnology company specializing in the development of AI-driven immunotherapies to improve the lives of patients with cancer, bacterial diseases and viral infections, announced today the third quarter 2021 financial results and provided an operational update.</w:t>
      </w:r>
    </w:p>
    <w:p>
      <w:pPr>
        <w:spacing w:after="0" w:line="162" w:lineRule="exact"/>
        <w:rPr>
          <w:sz w:val="20"/>
          <w:szCs w:val="20"/>
          <w:color w:val="auto"/>
        </w:rPr>
      </w:pPr>
    </w:p>
    <w:p>
      <w:pPr>
        <w:ind w:left="60" w:right="159"/>
        <w:spacing w:after="0" w:line="229" w:lineRule="auto"/>
        <w:rPr>
          <w:sz w:val="20"/>
          <w:szCs w:val="20"/>
          <w:color w:val="auto"/>
        </w:rPr>
      </w:pPr>
      <w:r>
        <w:rPr>
          <w:rFonts w:ascii="Arial" w:cs="Arial" w:eastAsia="Arial" w:hAnsi="Arial"/>
          <w:sz w:val="20"/>
          <w:szCs w:val="20"/>
          <w:b w:val="1"/>
          <w:bCs w:val="1"/>
          <w:color w:val="auto"/>
        </w:rPr>
        <w:t>Lars Wegner, CEO of Evaxion</w:t>
      </w:r>
      <w:r>
        <w:rPr>
          <w:rFonts w:ascii="Arial" w:cs="Arial" w:eastAsia="Arial" w:hAnsi="Arial"/>
          <w:sz w:val="20"/>
          <w:szCs w:val="20"/>
          <w:color w:val="auto"/>
        </w:rPr>
        <w:t>, said: “Evaxion has continued to make very encouraging clinical</w:t>
      </w:r>
      <w:r>
        <w:rPr>
          <w:rFonts w:ascii="Arial" w:cs="Arial" w:eastAsia="Arial" w:hAnsi="Arial"/>
          <w:sz w:val="20"/>
          <w:szCs w:val="20"/>
          <w:b w:val="1"/>
          <w:bCs w:val="1"/>
          <w:color w:val="auto"/>
        </w:rPr>
        <w:t xml:space="preserve"> </w:t>
      </w:r>
      <w:r>
        <w:rPr>
          <w:rFonts w:ascii="Arial" w:cs="Arial" w:eastAsia="Arial" w:hAnsi="Arial"/>
          <w:sz w:val="20"/>
          <w:szCs w:val="20"/>
          <w:color w:val="auto"/>
        </w:rPr>
        <w:t>progress in the third quarter of 2021, reporting data in July 2021 which we believe support advancing two of our lead programs into Phase 2b clinical trials. Phase 1/2a clinical trial data on our lead product candidate, EVX-01, showed that 67% of the patients benefited from EVX-01 in combination with anti-PD-1 for the treatment of metastatic melanoma, compared to the historical data of only 40% benefiting from the check point inhibitor alone. In addition, EVX-02 showed T-cell activation in adjuvant melanoma and appeared to be well tolerated. We plan to initiate a Phase 2b clinical trial for EVX-01 in melanoma by the end of 2021 in collaboration with Merck and initiate a Phase 2b clinical trial of EVX-02, in conjunction with our third product candidate, EVX-03, in Q2 2022. Our cash reserves of $11.9 million as of the end of the third quarter, combined with the follow-on financing provide a solid financial foundation and will facilitate the continued development of our lead programs.”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Operational and Business Highlights in Q3 2021</w:t>
      </w:r>
    </w:p>
    <w:p>
      <w:pPr>
        <w:spacing w:after="0" w:line="226" w:lineRule="exact"/>
        <w:rPr>
          <w:sz w:val="20"/>
          <w:szCs w:val="20"/>
          <w:color w:val="auto"/>
        </w:rPr>
      </w:pPr>
    </w:p>
    <w:p>
      <w:pPr>
        <w:ind w:left="700" w:right="439" w:hanging="326"/>
        <w:spacing w:after="0" w:line="236"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20"/>
          <w:szCs w:val="20"/>
          <w:color w:val="auto"/>
        </w:rPr>
        <w:t xml:space="preserve">Reported </w:t>
      </w:r>
      <w:r>
        <w:rPr>
          <w:rFonts w:ascii="Arial" w:cs="Arial" w:eastAsia="Arial" w:hAnsi="Arial"/>
          <w:sz w:val="20"/>
          <w:szCs w:val="20"/>
          <w:color w:val="4472C4"/>
        </w:rPr>
        <w:t>new clinical data</w:t>
      </w:r>
      <w:r>
        <w:rPr>
          <w:rFonts w:ascii="Arial" w:cs="Arial" w:eastAsia="Arial" w:hAnsi="Arial"/>
          <w:sz w:val="20"/>
          <w:szCs w:val="20"/>
          <w:color w:val="auto"/>
        </w:rPr>
        <w:t xml:space="preserve"> in early July 2021 from Phase 1/2a clinical trials of EVX-01 and EVX-02.</w:t>
      </w:r>
    </w:p>
    <w:p>
      <w:pPr>
        <w:spacing w:after="0" w:line="196" w:lineRule="exact"/>
        <w:rPr>
          <w:sz w:val="20"/>
          <w:szCs w:val="20"/>
          <w:color w:val="auto"/>
        </w:rPr>
      </w:pPr>
    </w:p>
    <w:p>
      <w:pPr>
        <w:ind w:left="1340" w:right="179" w:hanging="318"/>
        <w:spacing w:after="0" w:line="222" w:lineRule="auto"/>
        <w:tabs>
          <w:tab w:leader="none" w:pos="1340" w:val="left"/>
        </w:tabs>
        <w:numPr>
          <w:ilvl w:val="0"/>
          <w:numId w:val="3"/>
        </w:numPr>
        <w:rPr>
          <w:rFonts w:ascii="Courier New" w:cs="Courier New" w:eastAsia="Courier New" w:hAnsi="Courier New"/>
          <w:sz w:val="20"/>
          <w:szCs w:val="20"/>
          <w:color w:val="auto"/>
        </w:rPr>
      </w:pPr>
      <w:r>
        <w:rPr>
          <w:rFonts w:ascii="Arial" w:cs="Arial" w:eastAsia="Arial" w:hAnsi="Arial"/>
          <w:sz w:val="20"/>
          <w:szCs w:val="20"/>
          <w:color w:val="auto"/>
        </w:rPr>
        <w:t>EVX-01, our peptide-based patient-specific cancer therapy, demonstrated anti-tumor effect in combination with anti-PD-1 treatment, for metastatic melanoma. Results from the combination therapy compares favorably to historical data from anti-PD-1 treatment alone. A Phase 2b clinical trial of EVX-01 is planned to start by the end of 2021.</w:t>
      </w:r>
    </w:p>
    <w:p>
      <w:pPr>
        <w:ind w:left="1340" w:right="139" w:hanging="318"/>
        <w:spacing w:after="0" w:line="226" w:lineRule="auto"/>
        <w:tabs>
          <w:tab w:leader="none" w:pos="1340" w:val="left"/>
        </w:tabs>
        <w:numPr>
          <w:ilvl w:val="0"/>
          <w:numId w:val="3"/>
        </w:numPr>
        <w:rPr>
          <w:rFonts w:ascii="Courier New" w:cs="Courier New" w:eastAsia="Courier New" w:hAnsi="Courier New"/>
          <w:sz w:val="20"/>
          <w:szCs w:val="20"/>
          <w:color w:val="auto"/>
        </w:rPr>
      </w:pPr>
      <w:r>
        <w:rPr>
          <w:rFonts w:ascii="Arial" w:cs="Arial" w:eastAsia="Arial" w:hAnsi="Arial"/>
          <w:sz w:val="20"/>
          <w:szCs w:val="20"/>
          <w:color w:val="auto"/>
        </w:rPr>
        <w:t>Preliminary data with EVX-02, our DNA-based patient-specific cancer therapy, demonstrated T-cell activation induced by EVX-02 and appeared to be well tolerated. We intend to submit a regulatory filing for a Phase 2b clinical trial of EVX-02 and EVX-03, in combination with anti-PD-1 in adjuvant melanoma in a three-arm trial, in the first half of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332740</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20"/>
          <w:szCs w:val="20"/>
          <w:b w:val="1"/>
          <w:bCs w:val="1"/>
          <w:color w:val="auto"/>
        </w:rPr>
        <w:t>Events after the Reporting Period</w:t>
      </w:r>
    </w:p>
    <w:p>
      <w:pPr>
        <w:spacing w:after="0" w:line="226" w:lineRule="exact"/>
        <w:rPr>
          <w:sz w:val="20"/>
          <w:szCs w:val="20"/>
          <w:color w:val="auto"/>
        </w:rPr>
      </w:pPr>
    </w:p>
    <w:p>
      <w:pPr>
        <w:ind w:left="700" w:right="99" w:hanging="326"/>
        <w:spacing w:after="0" w:line="225"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20"/>
          <w:szCs w:val="20"/>
          <w:color w:val="auto"/>
        </w:rPr>
        <w:t>Announced clinical trial and supply agreement with subsidiaries of Merck &amp; Co., Inc. (known as MSD outside of the United States and Canada) to evaluate the combination of Evaxion’s cancer immunotherapy EVX-01 with MSD’s anti-PD-1 therapy KEYTRUDA® (pembrolizumab) in a new Phase 2b clinical trial in patients with metastatic melanoma</w:t>
      </w:r>
    </w:p>
    <w:p>
      <w:pPr>
        <w:spacing w:after="0" w:line="1" w:lineRule="exact"/>
        <w:rPr>
          <w:rFonts w:ascii="Arial" w:cs="Arial" w:eastAsia="Arial" w:hAnsi="Arial"/>
          <w:sz w:val="18"/>
          <w:szCs w:val="18"/>
          <w:color w:val="auto"/>
        </w:rPr>
      </w:pPr>
    </w:p>
    <w:p>
      <w:pPr>
        <w:jc w:val="both"/>
        <w:ind w:left="700" w:right="699" w:hanging="326"/>
        <w:spacing w:after="0" w:line="237" w:lineRule="auto"/>
        <w:tabs>
          <w:tab w:leader="none" w:pos="700" w:val="left"/>
        </w:tabs>
        <w:numPr>
          <w:ilvl w:val="0"/>
          <w:numId w:val="4"/>
        </w:numPr>
        <w:rPr>
          <w:rFonts w:ascii="Arial" w:cs="Arial" w:eastAsia="Arial" w:hAnsi="Arial"/>
          <w:sz w:val="17"/>
          <w:szCs w:val="17"/>
          <w:color w:val="auto"/>
        </w:rPr>
      </w:pPr>
      <w:r>
        <w:rPr>
          <w:rFonts w:ascii="Arial" w:cs="Arial" w:eastAsia="Arial" w:hAnsi="Arial"/>
          <w:sz w:val="19"/>
          <w:szCs w:val="19"/>
          <w:color w:val="auto"/>
        </w:rPr>
        <w:t>Awarded this year’s Enabling Technology Leadership Award in the artificial intelligence-enabled drug discovery industry by global research and consulting firm Frost &amp; Sullivan</w:t>
      </w:r>
    </w:p>
    <w:p>
      <w:pPr>
        <w:ind w:left="700" w:hanging="326"/>
        <w:spacing w:after="0" w:line="225"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20"/>
          <w:szCs w:val="20"/>
          <w:color w:val="auto"/>
        </w:rPr>
        <w:t>Presentation at the Immuno UK 2021 conference held in London in October</w:t>
      </w:r>
    </w:p>
    <w:p>
      <w:pPr>
        <w:ind w:left="700" w:right="299" w:hanging="326"/>
        <w:spacing w:after="0" w:line="232"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20"/>
          <w:szCs w:val="20"/>
          <w:color w:val="auto"/>
        </w:rPr>
        <w:t>Announced pricing of our FPO on November 5, 2021, and expect to raise gross proceeds of $27.6 million before deducting underwriting discounts and commissions and other offering expenses.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Expected milestones in 2021 &amp; 2022</w:t>
      </w:r>
    </w:p>
    <w:p>
      <w:pPr>
        <w:spacing w:after="0" w:line="226" w:lineRule="exact"/>
        <w:rPr>
          <w:sz w:val="20"/>
          <w:szCs w:val="20"/>
          <w:color w:val="auto"/>
        </w:rPr>
      </w:pPr>
    </w:p>
    <w:p>
      <w:pPr>
        <w:ind w:left="700" w:right="719" w:hanging="326"/>
        <w:spacing w:after="0" w:line="225"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20"/>
          <w:szCs w:val="20"/>
          <w:color w:val="auto"/>
        </w:rPr>
        <w:t>Phase 2b Investigational New Drug (IND) / Clinical Trial Application (CTA) of EVX-01 in metastatic melanoma – H2 2021.</w:t>
      </w:r>
    </w:p>
    <w:p>
      <w:pPr>
        <w:ind w:left="700" w:right="119" w:hanging="326"/>
        <w:spacing w:after="0" w:line="225"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20"/>
          <w:szCs w:val="20"/>
          <w:color w:val="auto"/>
        </w:rPr>
        <w:t>Phase 2b IND / CTA filing for EVX-02 in combination with EVX-03 in adjuvant melanoma – H1 2022.</w:t>
      </w:r>
    </w:p>
    <w:p>
      <w:pPr>
        <w:ind w:left="700" w:right="119" w:hanging="326"/>
        <w:spacing w:after="0" w:line="225"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20"/>
          <w:szCs w:val="20"/>
          <w:color w:val="auto"/>
        </w:rPr>
        <w:t xml:space="preserve">Phase 1a IND / CTA filing for EVX-B1 for </w:t>
      </w:r>
      <w:r>
        <w:rPr>
          <w:rFonts w:ascii="Arial" w:cs="Arial" w:eastAsia="Arial" w:hAnsi="Arial"/>
          <w:sz w:val="20"/>
          <w:szCs w:val="20"/>
          <w:i w:val="1"/>
          <w:iCs w:val="1"/>
          <w:color w:val="auto"/>
        </w:rPr>
        <w:t>S. aureus</w:t>
      </w:r>
      <w:r>
        <w:rPr>
          <w:rFonts w:ascii="Arial" w:cs="Arial" w:eastAsia="Arial" w:hAnsi="Arial"/>
          <w:sz w:val="20"/>
          <w:szCs w:val="20"/>
          <w:color w:val="auto"/>
        </w:rPr>
        <w:t xml:space="preserve"> in skin and soft tissue infections (SSTIs) – H2 2022.</w:t>
      </w:r>
    </w:p>
    <w:p>
      <w:pPr>
        <w:ind w:left="700" w:hanging="32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20"/>
          <w:szCs w:val="20"/>
          <w:color w:val="auto"/>
        </w:rPr>
        <w:t>First viral candidate selected from RAVEN platform – H2 2022.</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Third Quarter 2021 Financial Results</w:t>
      </w:r>
    </w:p>
    <w:p>
      <w:pPr>
        <w:spacing w:after="0" w:line="226" w:lineRule="exact"/>
        <w:rPr>
          <w:sz w:val="20"/>
          <w:szCs w:val="20"/>
          <w:color w:val="auto"/>
        </w:rPr>
      </w:pPr>
    </w:p>
    <w:p>
      <w:pPr>
        <w:ind w:left="700" w:right="119" w:hanging="326"/>
        <w:spacing w:after="0" w:line="225"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20"/>
          <w:szCs w:val="20"/>
          <w:u w:val="single" w:color="auto"/>
          <w:color w:val="auto"/>
        </w:rPr>
        <w:t>Cash position</w:t>
      </w:r>
      <w:r>
        <w:rPr>
          <w:rFonts w:ascii="Arial" w:cs="Arial" w:eastAsia="Arial" w:hAnsi="Arial"/>
          <w:sz w:val="20"/>
          <w:szCs w:val="20"/>
          <w:color w:val="auto"/>
        </w:rPr>
        <w:t>: As of September 30, 2021, cash and cash equivalents were $11.9 million compared to $5.8 million as of December 31, 2020. On February 9, 2021, we closed our IPO raising net proceeds of $27.9 million after deducting underwriting discounts and commissions, but before offering expenses.</w:t>
      </w:r>
    </w:p>
    <w:p>
      <w:pPr>
        <w:spacing w:after="0" w:line="1" w:lineRule="exact"/>
        <w:rPr>
          <w:rFonts w:ascii="Arial" w:cs="Arial" w:eastAsia="Arial" w:hAnsi="Arial"/>
          <w:sz w:val="18"/>
          <w:szCs w:val="18"/>
          <w:color w:val="auto"/>
        </w:rPr>
      </w:pPr>
    </w:p>
    <w:p>
      <w:pPr>
        <w:ind w:left="700" w:right="119" w:hanging="326"/>
        <w:spacing w:after="0" w:line="225"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20"/>
          <w:szCs w:val="20"/>
          <w:u w:val="single" w:color="auto"/>
          <w:color w:val="auto"/>
        </w:rPr>
        <w:t>Research and Development expenses</w:t>
      </w:r>
      <w:r>
        <w:rPr>
          <w:rFonts w:ascii="Arial" w:cs="Arial" w:eastAsia="Arial" w:hAnsi="Arial"/>
          <w:sz w:val="20"/>
          <w:szCs w:val="20"/>
          <w:color w:val="auto"/>
        </w:rPr>
        <w:t xml:space="preserve"> were $4.4 million for the quarter ended September 30, 2021, compared to $3.0 million for the same period in 2020. The increase of $1.4 million was primarily related to increased spending, net of grant income, for ongoing development utilizing our AI platforms, preclinical product candidates, and clinical trials. In addition, employee-related costs increased due to higher headcount.</w:t>
      </w:r>
    </w:p>
    <w:p>
      <w:pPr>
        <w:spacing w:after="0" w:line="1" w:lineRule="exact"/>
        <w:rPr>
          <w:rFonts w:ascii="Arial" w:cs="Arial" w:eastAsia="Arial" w:hAnsi="Arial"/>
          <w:sz w:val="18"/>
          <w:szCs w:val="18"/>
          <w:color w:val="auto"/>
        </w:rPr>
      </w:pPr>
    </w:p>
    <w:p>
      <w:pPr>
        <w:ind w:left="700" w:right="139" w:hanging="326"/>
        <w:spacing w:after="0" w:line="237" w:lineRule="auto"/>
        <w:tabs>
          <w:tab w:leader="none" w:pos="700" w:val="left"/>
        </w:tabs>
        <w:numPr>
          <w:ilvl w:val="0"/>
          <w:numId w:val="6"/>
        </w:numPr>
        <w:rPr>
          <w:rFonts w:ascii="Arial" w:cs="Arial" w:eastAsia="Arial" w:hAnsi="Arial"/>
          <w:sz w:val="17"/>
          <w:szCs w:val="17"/>
          <w:color w:val="auto"/>
        </w:rPr>
      </w:pPr>
      <w:r>
        <w:rPr>
          <w:rFonts w:ascii="Arial" w:cs="Arial" w:eastAsia="Arial" w:hAnsi="Arial"/>
          <w:sz w:val="19"/>
          <w:szCs w:val="19"/>
          <w:u w:val="single" w:color="auto"/>
          <w:color w:val="auto"/>
        </w:rPr>
        <w:t>General and Administrative expenses</w:t>
      </w:r>
      <w:r>
        <w:rPr>
          <w:rFonts w:ascii="Arial" w:cs="Arial" w:eastAsia="Arial" w:hAnsi="Arial"/>
          <w:sz w:val="19"/>
          <w:szCs w:val="19"/>
          <w:color w:val="auto"/>
        </w:rPr>
        <w:t xml:space="preserve"> were $1.5 million for the quarter ended September 30, 2021, compared to $1.7 million for the same period in 2020. The decrease of $0.2 million was primarily related to higher share-based compensation in the period ended September 30, 2020 due to accelerated vesting period and sign-on warrants issued associated with the IPO.</w:t>
      </w:r>
    </w:p>
    <w:p>
      <w:pPr>
        <w:ind w:left="700" w:right="219" w:hanging="326"/>
        <w:spacing w:after="0" w:line="232"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20"/>
          <w:szCs w:val="20"/>
          <w:u w:val="single" w:color="auto"/>
          <w:color w:val="auto"/>
        </w:rPr>
        <w:t>Net loss</w:t>
      </w:r>
      <w:r>
        <w:rPr>
          <w:rFonts w:ascii="Arial" w:cs="Arial" w:eastAsia="Arial" w:hAnsi="Arial"/>
          <w:sz w:val="20"/>
          <w:szCs w:val="20"/>
          <w:color w:val="auto"/>
        </w:rPr>
        <w:t xml:space="preserve"> was $5.3 million for the quarter ended September 30, 2021 or ($0.27) loss per basic and diluted share, compared to $4.0 million, or ($0.26) loss per basic and diluted share, for the same period in 2020.</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20"/>
          <w:szCs w:val="20"/>
          <w:i w:val="1"/>
          <w:iCs w:val="1"/>
          <w:color w:val="auto"/>
        </w:rPr>
        <w:t>Guidance</w:t>
      </w:r>
    </w:p>
    <w:p>
      <w:pPr>
        <w:spacing w:after="0" w:line="222" w:lineRule="exact"/>
        <w:rPr>
          <w:sz w:val="20"/>
          <w:szCs w:val="20"/>
          <w:color w:val="auto"/>
        </w:rPr>
      </w:pPr>
    </w:p>
    <w:p>
      <w:pPr>
        <w:jc w:val="both"/>
        <w:ind w:left="700" w:right="119" w:hanging="326"/>
        <w:spacing w:after="0" w:line="232"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20"/>
          <w:szCs w:val="20"/>
          <w:color w:val="auto"/>
        </w:rPr>
        <w:t>We expect the net proceeds from our IPO and FPO combined with our existing cash reserves will be sufficient to fund our operating expenses and capital expenditure requirements through at least 12 months from September 30, 2021.</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Webcast and Conference Call</w:t>
      </w:r>
    </w:p>
    <w:p>
      <w:pPr>
        <w:spacing w:after="0" w:line="226" w:lineRule="exact"/>
        <w:rPr>
          <w:sz w:val="20"/>
          <w:szCs w:val="20"/>
          <w:color w:val="auto"/>
        </w:rPr>
      </w:pPr>
    </w:p>
    <w:p>
      <w:pPr>
        <w:ind w:left="60"/>
        <w:spacing w:after="0"/>
        <w:rPr>
          <w:sz w:val="20"/>
          <w:szCs w:val="20"/>
          <w:color w:val="auto"/>
        </w:rPr>
      </w:pPr>
      <w:r>
        <w:rPr>
          <w:rFonts w:ascii="Arial" w:cs="Arial" w:eastAsia="Arial" w:hAnsi="Arial"/>
          <w:sz w:val="20"/>
          <w:szCs w:val="20"/>
          <w:color w:val="auto"/>
        </w:rPr>
        <w:t>Evaxion will host a webcast and conference call today, November 9, at 8:30 a.m. EDT.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336550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20"/>
          <w:szCs w:val="20"/>
          <w:color w:val="auto"/>
        </w:rPr>
        <w:t>To dial-in for the conference call, please use the following details: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20"/>
          <w:szCs w:val="20"/>
          <w:color w:val="auto"/>
        </w:rPr>
        <w:t>US: 877-407-0792</w:t>
      </w:r>
    </w:p>
    <w:p>
      <w:pPr>
        <w:spacing w:after="0" w:line="94" w:lineRule="exact"/>
        <w:rPr>
          <w:sz w:val="20"/>
          <w:szCs w:val="20"/>
          <w:color w:val="auto"/>
        </w:rPr>
      </w:pPr>
    </w:p>
    <w:p>
      <w:pPr>
        <w:ind w:left="60"/>
        <w:spacing w:after="0"/>
        <w:rPr>
          <w:sz w:val="20"/>
          <w:szCs w:val="20"/>
          <w:color w:val="auto"/>
        </w:rPr>
      </w:pPr>
      <w:r>
        <w:rPr>
          <w:rFonts w:ascii="Arial" w:cs="Arial" w:eastAsia="Arial" w:hAnsi="Arial"/>
          <w:sz w:val="20"/>
          <w:szCs w:val="20"/>
          <w:color w:val="auto"/>
        </w:rPr>
        <w:t>International: +1-201-689-8263</w:t>
      </w:r>
    </w:p>
    <w:p>
      <w:pPr>
        <w:spacing w:after="0" w:line="94" w:lineRule="exact"/>
        <w:rPr>
          <w:sz w:val="20"/>
          <w:szCs w:val="20"/>
          <w:color w:val="auto"/>
        </w:rPr>
      </w:pPr>
    </w:p>
    <w:p>
      <w:pPr>
        <w:ind w:left="60"/>
        <w:spacing w:after="0"/>
        <w:rPr>
          <w:sz w:val="20"/>
          <w:szCs w:val="20"/>
          <w:color w:val="auto"/>
        </w:rPr>
      </w:pPr>
      <w:r>
        <w:rPr>
          <w:rFonts w:ascii="Arial" w:cs="Arial" w:eastAsia="Arial" w:hAnsi="Arial"/>
          <w:sz w:val="20"/>
          <w:szCs w:val="20"/>
          <w:color w:val="auto"/>
        </w:rPr>
        <w:t>Conference ID: 13723544</w:t>
      </w:r>
    </w:p>
    <w:p>
      <w:pPr>
        <w:spacing w:after="0" w:line="94" w:lineRule="exact"/>
        <w:rPr>
          <w:sz w:val="20"/>
          <w:szCs w:val="20"/>
          <w:color w:val="auto"/>
        </w:rPr>
      </w:pPr>
    </w:p>
    <w:p>
      <w:pPr>
        <w:ind w:left="60"/>
        <w:spacing w:after="0"/>
        <w:rPr>
          <w:sz w:val="20"/>
          <w:szCs w:val="20"/>
          <w:color w:val="auto"/>
        </w:rPr>
      </w:pPr>
      <w:r>
        <w:rPr>
          <w:rFonts w:ascii="Arial" w:cs="Arial" w:eastAsia="Arial" w:hAnsi="Arial"/>
          <w:sz w:val="20"/>
          <w:szCs w:val="20"/>
          <w:color w:val="auto"/>
        </w:rPr>
        <w:t>Alternatively to access the audio webcast, please visit the events page of Evaxion’s website at:</w:t>
      </w:r>
    </w:p>
    <w:p>
      <w:pPr>
        <w:spacing w:after="0" w:line="94" w:lineRule="exact"/>
        <w:rPr>
          <w:sz w:val="20"/>
          <w:szCs w:val="20"/>
          <w:color w:val="auto"/>
        </w:rPr>
      </w:pPr>
    </w:p>
    <w:p>
      <w:pPr>
        <w:ind w:left="60"/>
        <w:spacing w:after="0"/>
        <w:rPr>
          <w:sz w:val="20"/>
          <w:szCs w:val="20"/>
          <w:color w:val="auto"/>
        </w:rPr>
      </w:pPr>
      <w:r>
        <w:rPr>
          <w:rFonts w:ascii="Arial" w:cs="Arial" w:eastAsia="Arial" w:hAnsi="Arial"/>
          <w:sz w:val="20"/>
          <w:szCs w:val="20"/>
          <w:color w:val="auto"/>
        </w:rPr>
        <w:t>https://evaxion-biotech.com/news-and-events/events/default.aspx</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About Evaxion</w:t>
      </w:r>
    </w:p>
    <w:p>
      <w:pPr>
        <w:spacing w:after="0" w:line="10" w:lineRule="exact"/>
        <w:rPr>
          <w:sz w:val="20"/>
          <w:szCs w:val="20"/>
          <w:color w:val="auto"/>
        </w:rPr>
      </w:pPr>
    </w:p>
    <w:p>
      <w:pPr>
        <w:ind w:left="60" w:right="139"/>
        <w:spacing w:after="0" w:line="228" w:lineRule="auto"/>
        <w:rPr>
          <w:sz w:val="20"/>
          <w:szCs w:val="20"/>
          <w:color w:val="auto"/>
        </w:rPr>
      </w:pPr>
      <w:r>
        <w:rPr>
          <w:rFonts w:ascii="Arial" w:cs="Arial" w:eastAsia="Arial" w:hAnsi="Arial"/>
          <w:sz w:val="20"/>
          <w:szCs w:val="20"/>
          <w:color w:val="auto"/>
        </w:rPr>
        <w:t>Evaxion Biotech A/S is a clinical-stage AI-immunology™ platform company decoding the human immune system to discover and develop novel immunotherapies to treat cancer, bacterial diseases and viral infections. Based on its proprietary and scalable AI-immunology core technology, Evaxion is developing a broad pipeline of novel product candidates which currently includes three patient-specific cancer immunotherapies, two of which are in Phase 1/2a clinical development. In addition, Evaxion is advancing a portfolio of vaccines to prevent bacterial and viral infections currently in preclinical development.</w:t>
      </w:r>
    </w:p>
    <w:p>
      <w:pPr>
        <w:sectPr>
          <w:pgSz w:w="11900" w:h="16838" w:orient="portrait"/>
          <w:cols w:equalWidth="0" w:num="1">
            <w:col w:w="9019"/>
          </w:cols>
          <w:pgMar w:left="1440" w:top="135" w:right="1440" w:bottom="1440" w:gutter="0" w:footer="0" w:header="0"/>
        </w:sectPr>
      </w:pPr>
    </w:p>
    <w:p>
      <w:pPr>
        <w:spacing w:after="0" w:line="175" w:lineRule="exact"/>
        <w:rPr>
          <w:sz w:val="20"/>
          <w:szCs w:val="20"/>
          <w:color w:val="auto"/>
        </w:rPr>
      </w:pPr>
    </w:p>
    <w:p>
      <w:pPr>
        <w:ind w:left="60" w:right="1000"/>
        <w:spacing w:after="0" w:line="246" w:lineRule="auto"/>
        <w:rPr>
          <w:sz w:val="20"/>
          <w:szCs w:val="20"/>
          <w:color w:val="auto"/>
        </w:rPr>
      </w:pPr>
      <w:r>
        <w:rPr>
          <w:rFonts w:ascii="Arial" w:cs="Arial" w:eastAsia="Arial" w:hAnsi="Arial"/>
          <w:sz w:val="19"/>
          <w:szCs w:val="19"/>
          <w:b w:val="1"/>
          <w:bCs w:val="1"/>
          <w:color w:val="auto"/>
        </w:rPr>
        <w:t xml:space="preserve">For more information </w:t>
      </w:r>
      <w:r>
        <w:rPr>
          <w:rFonts w:ascii="Arial" w:cs="Arial" w:eastAsia="Arial" w:hAnsi="Arial"/>
          <w:sz w:val="19"/>
          <w:szCs w:val="19"/>
          <w:color w:val="auto"/>
        </w:rPr>
        <w:t>Evaxion Biotech A/S Niels Iversen Moller, M.D. Chief Financial Officer nim@evaxion-biotech.com +45 27 11 62 27</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ind w:left="20"/>
        <w:spacing w:after="0"/>
        <w:rPr>
          <w:sz w:val="20"/>
          <w:szCs w:val="20"/>
          <w:color w:val="auto"/>
        </w:rPr>
      </w:pPr>
      <w:r>
        <w:rPr>
          <w:rFonts w:ascii="Arial" w:cs="Arial" w:eastAsia="Arial" w:hAnsi="Arial"/>
          <w:sz w:val="20"/>
          <w:szCs w:val="20"/>
          <w:color w:val="auto"/>
        </w:rPr>
        <w:t>LifeSci Advisors LLC</w:t>
      </w:r>
    </w:p>
    <w:p>
      <w:pPr>
        <w:spacing w:after="0" w:line="225" w:lineRule="auto"/>
        <w:rPr>
          <w:sz w:val="20"/>
          <w:szCs w:val="20"/>
          <w:color w:val="auto"/>
        </w:rPr>
      </w:pPr>
      <w:r>
        <w:rPr>
          <w:rFonts w:ascii="Arial" w:cs="Arial" w:eastAsia="Arial" w:hAnsi="Arial"/>
          <w:sz w:val="20"/>
          <w:szCs w:val="20"/>
          <w:color w:val="auto"/>
        </w:rPr>
        <w:t>Corey Davis, Ph.D.</w:t>
      </w:r>
    </w:p>
    <w:p>
      <w:pPr>
        <w:ind w:left="20"/>
        <w:spacing w:after="0" w:line="225" w:lineRule="auto"/>
        <w:rPr>
          <w:sz w:val="20"/>
          <w:szCs w:val="20"/>
          <w:color w:val="auto"/>
        </w:rPr>
      </w:pPr>
      <w:r>
        <w:rPr>
          <w:rFonts w:ascii="Arial" w:cs="Arial" w:eastAsia="Arial" w:hAnsi="Arial"/>
          <w:sz w:val="20"/>
          <w:szCs w:val="20"/>
          <w:color w:val="auto"/>
        </w:rPr>
        <w:t>Managing Director</w:t>
      </w:r>
    </w:p>
    <w:p>
      <w:pPr>
        <w:spacing w:after="0" w:line="238" w:lineRule="auto"/>
        <w:rPr>
          <w:sz w:val="20"/>
          <w:szCs w:val="20"/>
          <w:color w:val="auto"/>
        </w:rPr>
      </w:pPr>
      <w:r>
        <w:rPr>
          <w:rFonts w:ascii="Arial" w:cs="Arial" w:eastAsia="Arial" w:hAnsi="Arial"/>
          <w:sz w:val="19"/>
          <w:szCs w:val="19"/>
          <w:color w:val="auto"/>
        </w:rPr>
        <w:t>cdavis@lifesciadvisors.com</w:t>
      </w:r>
    </w:p>
    <w:p>
      <w:pPr>
        <w:spacing w:after="0"/>
        <w:rPr>
          <w:sz w:val="20"/>
          <w:szCs w:val="20"/>
          <w:color w:val="auto"/>
        </w:rPr>
      </w:pPr>
      <w:r>
        <w:rPr>
          <w:rFonts w:ascii="Arial" w:cs="Arial" w:eastAsia="Arial" w:hAnsi="Arial"/>
          <w:sz w:val="20"/>
          <w:szCs w:val="20"/>
          <w:color w:val="auto"/>
        </w:rPr>
        <w:t>212-915-2577</w:t>
      </w:r>
    </w:p>
    <w:p>
      <w:pPr>
        <w:spacing w:after="0" w:line="201" w:lineRule="exact"/>
        <w:rPr>
          <w:sz w:val="20"/>
          <w:szCs w:val="20"/>
          <w:color w:val="auto"/>
        </w:rPr>
      </w:pPr>
    </w:p>
    <w:p>
      <w:pPr>
        <w:sectPr>
          <w:pgSz w:w="11900" w:h="16838" w:orient="portrait"/>
          <w:cols w:equalWidth="0" w:num="2">
            <w:col w:w="3380" w:space="720"/>
            <w:col w:w="4919"/>
          </w:cols>
          <w:pgMar w:left="1440" w:top="135" w:right="1440" w:bottom="1440" w:gutter="0" w:footer="0" w:header="0"/>
          <w:type w:val="continuous"/>
        </w:sectPr>
      </w:pPr>
    </w:p>
    <w:p>
      <w:pPr>
        <w:ind w:left="60"/>
        <w:spacing w:after="0"/>
        <w:rPr>
          <w:sz w:val="20"/>
          <w:szCs w:val="20"/>
          <w:color w:val="auto"/>
        </w:rPr>
      </w:pPr>
      <w:r>
        <w:rPr>
          <w:rFonts w:ascii="Arial" w:cs="Arial" w:eastAsia="Arial" w:hAnsi="Arial"/>
          <w:sz w:val="20"/>
          <w:szCs w:val="20"/>
          <w:color w:val="auto"/>
        </w:rPr>
        <w:t>Source: Evaxion Biotech</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Forward-looking statement</w:t>
      </w:r>
    </w:p>
    <w:p>
      <w:pPr>
        <w:sectPr>
          <w:pgSz w:w="11900" w:h="16838" w:orient="portrait"/>
          <w:cols w:equalWidth="0" w:num="1">
            <w:col w:w="9019"/>
          </w:cols>
          <w:pgMar w:left="1440" w:top="135" w:right="1440" w:bottom="1440" w:gutter="0" w:footer="0" w:header="0"/>
          <w:type w:val="continuous"/>
        </w:sectPr>
      </w:pPr>
    </w:p>
    <w:p>
      <w:pPr>
        <w:spacing w:after="0" w:line="238" w:lineRule="exact"/>
        <w:rPr>
          <w:sz w:val="20"/>
          <w:szCs w:val="20"/>
          <w:color w:val="auto"/>
        </w:rPr>
      </w:pPr>
    </w:p>
    <w:p>
      <w:pPr>
        <w:ind w:left="60" w:right="79"/>
        <w:spacing w:after="0" w:line="226" w:lineRule="auto"/>
        <w:rPr>
          <w:sz w:val="20"/>
          <w:szCs w:val="20"/>
          <w:color w:val="auto"/>
        </w:rPr>
      </w:pPr>
      <w:r>
        <w:rPr>
          <w:rFonts w:ascii="Arial" w:cs="Arial" w:eastAsia="Arial" w:hAnsi="Arial"/>
          <w:sz w:val="20"/>
          <w:szCs w:val="20"/>
          <w:color w:val="auto"/>
        </w:rPr>
        <w:t>This announcement contains forward-looking statements that involve substantial risks and uncertainties. All statements, other than statements of historical facts, included in this announcement regarding the Company’s future operations, plans and objectives are forward-looking statements. Although the Company believes its expectations are based on reasonable assumptions, all statements other than statements of historical fact included in this announcement about future events are subject to (i) change without notice and (ii) factors beyond the Company’s control. These statements may include, without limitation, any statements preceded by, followed by, or including words such as “target,” “believe,” “expect,” “hope,” “aim,” “intend,” “may,” “might,” “anticipate,” “contemplate,” “continue,” “estimate,” “plan,” “potential,” “predict,” “project,” “will,” “can have,” “likely,” “should,” “would,” “could,” and other words and terms of similar meaning or the negative thereof. Actual results may differ materially from those indicated by such forward-looking statements as a result of various factors, including but not limited to: risks associated with the Company’s financial condition and need for additional capital; risks associated with the Company’s development work; cost and success of the Company’s product development activities and preclinical and clinical trials; risks related to commercializing any approved pharmaceutical product developed using the Company’s AI platform technology, including the rate and degree of market acceptance of the Company’s product candidates; risks related to the Company’s dependence on third parties including for conduct of clinical testing and product manufacture; risks associated with the Company’s inability to enter into partnerships; risks related to government regulation; risks associated with protection of the Company’s intellectual property rights; risks related to employee matters and managing growth; risks related to the Company’s ADSs and ordinary shares, risks associated with the pandemic caused by the coronavirus known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337185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35" w:right="1440" w:bottom="1440" w:gutter="0" w:footer="0" w:header="0"/>
          <w:type w:val="continuous"/>
        </w:sectPr>
      </w:pPr>
    </w:p>
    <w:bookmarkStart w:id="6" w:name="page7"/>
    <w:bookmarkEnd w:id="6"/>
    <w:p>
      <w:pPr>
        <w:ind w:left="60" w:right="499"/>
        <w:spacing w:after="0" w:line="236" w:lineRule="auto"/>
        <w:rPr>
          <w:sz w:val="20"/>
          <w:szCs w:val="20"/>
          <w:color w:val="auto"/>
        </w:rPr>
      </w:pPr>
      <w:r>
        <w:rPr>
          <w:rFonts w:ascii="Arial" w:cs="Arial" w:eastAsia="Arial" w:hAnsi="Arial"/>
          <w:sz w:val="20"/>
          <w:szCs w:val="20"/>
          <w:color w:val="auto"/>
        </w:rPr>
        <w:t>as COVID-19 and other risks and uncertainties affecting the Company’s business operations and financial condition.</w:t>
      </w:r>
    </w:p>
    <w:p>
      <w:pPr>
        <w:spacing w:after="0" w:line="196" w:lineRule="exact"/>
        <w:rPr>
          <w:sz w:val="20"/>
          <w:szCs w:val="20"/>
          <w:color w:val="auto"/>
        </w:rPr>
      </w:pPr>
    </w:p>
    <w:p>
      <w:pPr>
        <w:ind w:left="60" w:right="99"/>
        <w:spacing w:after="0" w:line="227" w:lineRule="auto"/>
        <w:rPr>
          <w:sz w:val="20"/>
          <w:szCs w:val="20"/>
          <w:color w:val="auto"/>
        </w:rPr>
      </w:pPr>
      <w:r>
        <w:rPr>
          <w:rFonts w:ascii="Arial" w:cs="Arial" w:eastAsia="Arial" w:hAnsi="Arial"/>
          <w:sz w:val="20"/>
          <w:szCs w:val="20"/>
          <w:color w:val="auto"/>
        </w:rPr>
        <w:t>Forward-looking statements are subject to inherent risks and uncertainties beyond the Company’s control that could cause the Company’s actual results, performance, or achievements to be materially different from the expected results, performance, or achievements expressed or implied by such forward-looking statements. For a further description of the risks and uncertainties that could cause actual results to differ from those expressed in these forward-looking statements, as well as risks relating to the Company’s business in general, see the risks described in the “Risk Factors” section included in the Company’s Form 20-F for the year ended December 31, 2020 and the Company’s other reports filed with, or submitted to, the U.S. Securities and Exchange Commission (SEC). Any forward-looking statements contained in this announcement speak only as of the date hereof, and except as required by law, the Company assumes no obligation to update these forward-looking statements publicly, or to update the reasons actual results could differ materially from those anticipated in the forward-looking statements, even if new information becomes available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624205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35" w:right="1440"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20"/>
          <w:szCs w:val="20"/>
          <w:b w:val="1"/>
          <w:bCs w:val="1"/>
          <w:color w:val="auto"/>
        </w:rPr>
        <w:t>Evaxion Biotech A/S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Consolidated Statements of Financial Position Data (Unaudited)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(USD in thousands)</w:t>
      </w:r>
    </w:p>
    <w:p>
      <w:pPr>
        <w:spacing w:after="0" w:line="301"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60" w:type="dxa"/>
            <w:vAlign w:val="bottom"/>
            <w:gridSpan w:val="2"/>
          </w:tcPr>
          <w:p>
            <w:pPr>
              <w:ind w:left="80"/>
              <w:spacing w:after="0"/>
              <w:rPr>
                <w:sz w:val="20"/>
                <w:szCs w:val="20"/>
                <w:color w:val="auto"/>
              </w:rPr>
            </w:pPr>
            <w:r>
              <w:rPr>
                <w:rFonts w:ascii="Arial" w:cs="Arial" w:eastAsia="Arial" w:hAnsi="Arial"/>
                <w:sz w:val="20"/>
                <w:szCs w:val="20"/>
                <w:b w:val="1"/>
                <w:bCs w:val="1"/>
                <w:color w:val="auto"/>
              </w:rPr>
              <w:t>Sep 30,</w:t>
            </w:r>
          </w:p>
        </w:tc>
        <w:tc>
          <w:tcPr>
            <w:tcW w:w="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20"/>
                <w:szCs w:val="20"/>
                <w:b w:val="1"/>
                <w:bCs w:val="1"/>
                <w:color w:val="auto"/>
              </w:rPr>
              <w:t>Dec 31,</w:t>
            </w:r>
          </w:p>
        </w:tc>
      </w:tr>
      <w:tr>
        <w:trPr>
          <w:trHeight w:val="244"/>
        </w:trPr>
        <w:tc>
          <w:tcPr>
            <w:tcW w:w="2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2280" w:type="dxa"/>
            <w:vAlign w:val="bottom"/>
            <w:gridSpan w:val="2"/>
          </w:tcPr>
          <w:p>
            <w:pPr>
              <w:jc w:val="right"/>
              <w:ind w:right="121"/>
              <w:spacing w:after="0"/>
              <w:rPr>
                <w:sz w:val="20"/>
                <w:szCs w:val="20"/>
                <w:color w:val="auto"/>
              </w:rPr>
            </w:pPr>
            <w:r>
              <w:rPr>
                <w:rFonts w:ascii="Arial" w:cs="Arial" w:eastAsia="Arial" w:hAnsi="Arial"/>
                <w:sz w:val="20"/>
                <w:szCs w:val="20"/>
                <w:b w:val="1"/>
                <w:bCs w:val="1"/>
                <w:color w:val="auto"/>
              </w:rPr>
              <w:t>2021</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ind w:right="121"/>
              <w:spacing w:after="0"/>
              <w:rPr>
                <w:sz w:val="20"/>
                <w:szCs w:val="20"/>
                <w:color w:val="auto"/>
              </w:rPr>
            </w:pPr>
            <w:r>
              <w:rPr>
                <w:rFonts w:ascii="Arial" w:cs="Arial" w:eastAsia="Arial" w:hAnsi="Arial"/>
                <w:sz w:val="20"/>
                <w:szCs w:val="20"/>
                <w:b w:val="1"/>
                <w:bCs w:val="1"/>
                <w:color w:val="auto"/>
              </w:rPr>
              <w:t>2020</w:t>
            </w: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spacing w:after="0" w:line="209" w:lineRule="exact"/>
              <w:rPr>
                <w:sz w:val="20"/>
                <w:szCs w:val="20"/>
                <w:color w:val="auto"/>
              </w:rPr>
            </w:pPr>
            <w:r>
              <w:rPr>
                <w:rFonts w:ascii="Arial" w:cs="Arial" w:eastAsia="Arial" w:hAnsi="Arial"/>
                <w:sz w:val="20"/>
                <w:szCs w:val="20"/>
                <w:color w:val="auto"/>
              </w:rPr>
              <w:t>Cash and cash equivalents</w:t>
            </w:r>
          </w:p>
        </w:tc>
        <w:tc>
          <w:tcPr>
            <w:tcW w:w="14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$ 11,944</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5,834</w:t>
            </w:r>
          </w:p>
        </w:tc>
      </w:tr>
      <w:tr>
        <w:trPr>
          <w:trHeight w:val="249"/>
        </w:trPr>
        <w:tc>
          <w:tcPr>
            <w:tcW w:w="20" w:type="dxa"/>
            <w:vAlign w:val="bottom"/>
          </w:tcPr>
          <w:p>
            <w:pPr>
              <w:spacing w:after="0"/>
              <w:rPr>
                <w:sz w:val="21"/>
                <w:szCs w:val="21"/>
                <w:color w:val="auto"/>
              </w:rPr>
            </w:pPr>
          </w:p>
        </w:tc>
        <w:tc>
          <w:tcPr>
            <w:tcW w:w="3760" w:type="dxa"/>
            <w:vAlign w:val="bottom"/>
            <w:tcBorders>
              <w:bottom w:val="single" w:sz="8" w:color="CCEEFF"/>
            </w:tcBorders>
          </w:tcPr>
          <w:p>
            <w:pPr>
              <w:spacing w:after="0" w:line="209" w:lineRule="exact"/>
              <w:rPr>
                <w:sz w:val="20"/>
                <w:szCs w:val="20"/>
                <w:color w:val="auto"/>
              </w:rPr>
            </w:pPr>
            <w:r>
              <w:rPr>
                <w:rFonts w:ascii="Arial" w:cs="Arial" w:eastAsia="Arial" w:hAnsi="Arial"/>
                <w:sz w:val="20"/>
                <w:szCs w:val="20"/>
                <w:color w:val="auto"/>
              </w:rPr>
              <w:t>Total assets</w:t>
            </w:r>
          </w:p>
        </w:tc>
        <w:tc>
          <w:tcPr>
            <w:tcW w:w="142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24,116</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11,965</w:t>
            </w:r>
          </w:p>
        </w:tc>
      </w:tr>
      <w:tr>
        <w:trPr>
          <w:trHeight w:val="197"/>
        </w:trPr>
        <w:tc>
          <w:tcPr>
            <w:tcW w:w="20" w:type="dxa"/>
            <w:vAlign w:val="bottom"/>
          </w:tcPr>
          <w:p>
            <w:pPr>
              <w:spacing w:after="0"/>
              <w:rPr>
                <w:sz w:val="17"/>
                <w:szCs w:val="17"/>
                <w:color w:val="auto"/>
              </w:rPr>
            </w:pPr>
          </w:p>
        </w:tc>
        <w:tc>
          <w:tcPr>
            <w:tcW w:w="3760" w:type="dxa"/>
            <w:vAlign w:val="bottom"/>
            <w:shd w:val="clear" w:color="auto" w:fill="CCEEFF"/>
          </w:tcPr>
          <w:p>
            <w:pPr>
              <w:spacing w:after="0" w:line="197" w:lineRule="exact"/>
              <w:rPr>
                <w:sz w:val="20"/>
                <w:szCs w:val="20"/>
                <w:color w:val="auto"/>
              </w:rPr>
            </w:pPr>
            <w:r>
              <w:rPr>
                <w:rFonts w:ascii="Arial" w:cs="Arial" w:eastAsia="Arial" w:hAnsi="Arial"/>
                <w:sz w:val="20"/>
                <w:szCs w:val="20"/>
                <w:color w:val="auto"/>
              </w:rPr>
              <w:t>Total liabilities</w:t>
            </w:r>
          </w:p>
        </w:tc>
        <w:tc>
          <w:tcPr>
            <w:tcW w:w="142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7" w:lineRule="exact"/>
              <w:rPr>
                <w:sz w:val="20"/>
                <w:szCs w:val="20"/>
                <w:color w:val="auto"/>
              </w:rPr>
            </w:pPr>
            <w:r>
              <w:rPr>
                <w:rFonts w:ascii="Arial" w:cs="Arial" w:eastAsia="Arial" w:hAnsi="Arial"/>
                <w:sz w:val="20"/>
                <w:szCs w:val="20"/>
                <w:color w:val="auto"/>
              </w:rPr>
              <w:t>7,466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7" w:lineRule="exact"/>
              <w:rPr>
                <w:sz w:val="20"/>
                <w:szCs w:val="20"/>
                <w:color w:val="auto"/>
              </w:rPr>
            </w:pPr>
            <w:r>
              <w:rPr>
                <w:rFonts w:ascii="Arial" w:cs="Arial" w:eastAsia="Arial" w:hAnsi="Arial"/>
                <w:sz w:val="20"/>
                <w:szCs w:val="20"/>
                <w:color w:val="auto"/>
              </w:rPr>
              <w:t>4,927</w:t>
            </w:r>
          </w:p>
        </w:tc>
      </w:tr>
      <w:tr>
        <w:trPr>
          <w:trHeight w:val="209"/>
        </w:trPr>
        <w:tc>
          <w:tcPr>
            <w:tcW w:w="20" w:type="dxa"/>
            <w:vAlign w:val="bottom"/>
          </w:tcPr>
          <w:p>
            <w:pPr>
              <w:spacing w:after="0"/>
              <w:rPr>
                <w:sz w:val="18"/>
                <w:szCs w:val="18"/>
                <w:color w:val="auto"/>
              </w:rPr>
            </w:pPr>
          </w:p>
        </w:tc>
        <w:tc>
          <w:tcPr>
            <w:tcW w:w="3760" w:type="dxa"/>
            <w:vAlign w:val="bottom"/>
          </w:tcPr>
          <w:p>
            <w:pPr>
              <w:spacing w:after="0" w:line="209" w:lineRule="exact"/>
              <w:rPr>
                <w:sz w:val="20"/>
                <w:szCs w:val="20"/>
                <w:color w:val="auto"/>
              </w:rPr>
            </w:pPr>
            <w:r>
              <w:rPr>
                <w:rFonts w:ascii="Arial" w:cs="Arial" w:eastAsia="Arial" w:hAnsi="Arial"/>
                <w:sz w:val="20"/>
                <w:szCs w:val="20"/>
                <w:color w:val="auto"/>
              </w:rPr>
              <w:t>Share capital</w:t>
            </w:r>
          </w:p>
        </w:tc>
        <w:tc>
          <w:tcPr>
            <w:tcW w:w="1420" w:type="dxa"/>
            <w:vAlign w:val="bottom"/>
          </w:tcPr>
          <w:p>
            <w:pPr>
              <w:spacing w:after="0"/>
              <w:rPr>
                <w:sz w:val="18"/>
                <w:szCs w:val="18"/>
                <w:color w:val="auto"/>
              </w:rPr>
            </w:pPr>
          </w:p>
        </w:tc>
        <w:tc>
          <w:tcPr>
            <w:tcW w:w="860" w:type="dxa"/>
            <w:vAlign w:val="bottom"/>
          </w:tcPr>
          <w:p>
            <w:pPr>
              <w:jc w:val="right"/>
              <w:spacing w:after="0" w:line="209" w:lineRule="exact"/>
              <w:rPr>
                <w:sz w:val="20"/>
                <w:szCs w:val="20"/>
                <w:color w:val="auto"/>
              </w:rPr>
            </w:pPr>
            <w:r>
              <w:rPr>
                <w:rFonts w:ascii="Arial" w:cs="Arial" w:eastAsia="Arial" w:hAnsi="Arial"/>
                <w:sz w:val="20"/>
                <w:szCs w:val="20"/>
                <w:color w:val="auto"/>
              </w:rPr>
              <w:t>3,132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line="209" w:lineRule="exact"/>
              <w:rPr>
                <w:sz w:val="20"/>
                <w:szCs w:val="20"/>
                <w:color w:val="auto"/>
              </w:rPr>
            </w:pPr>
            <w:r>
              <w:rPr>
                <w:rFonts w:ascii="Arial" w:cs="Arial" w:eastAsia="Arial" w:hAnsi="Arial"/>
                <w:sz w:val="20"/>
                <w:szCs w:val="20"/>
                <w:color w:val="auto"/>
              </w:rPr>
              <w:t>2,648</w:t>
            </w: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Other reserves</w:t>
            </w:r>
          </w:p>
        </w:tc>
        <w:tc>
          <w:tcPr>
            <w:tcW w:w="228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20"/>
                <w:szCs w:val="20"/>
                <w:color w:val="auto"/>
              </w:rPr>
              <w:t>55,658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31,669</w:t>
            </w:r>
          </w:p>
        </w:tc>
      </w:tr>
      <w:tr>
        <w:trPr>
          <w:trHeight w:val="216"/>
        </w:trPr>
        <w:tc>
          <w:tcPr>
            <w:tcW w:w="20" w:type="dxa"/>
            <w:vAlign w:val="bottom"/>
          </w:tcPr>
          <w:p>
            <w:pPr>
              <w:spacing w:after="0"/>
              <w:rPr>
                <w:sz w:val="18"/>
                <w:szCs w:val="18"/>
                <w:color w:val="auto"/>
              </w:rPr>
            </w:pPr>
          </w:p>
        </w:tc>
        <w:tc>
          <w:tcPr>
            <w:tcW w:w="3760" w:type="dxa"/>
            <w:vAlign w:val="bottom"/>
          </w:tcPr>
          <w:p>
            <w:pPr>
              <w:spacing w:after="0" w:line="216" w:lineRule="exact"/>
              <w:rPr>
                <w:sz w:val="20"/>
                <w:szCs w:val="20"/>
                <w:color w:val="auto"/>
              </w:rPr>
            </w:pPr>
            <w:r>
              <w:rPr>
                <w:rFonts w:ascii="Arial" w:cs="Arial" w:eastAsia="Arial" w:hAnsi="Arial"/>
                <w:sz w:val="20"/>
                <w:szCs w:val="20"/>
                <w:color w:val="auto"/>
              </w:rPr>
              <w:t>Accumulated deficit</w:t>
            </w:r>
          </w:p>
        </w:tc>
        <w:tc>
          <w:tcPr>
            <w:tcW w:w="2280" w:type="dxa"/>
            <w:vAlign w:val="bottom"/>
            <w:gridSpan w:val="2"/>
          </w:tcPr>
          <w:p>
            <w:pPr>
              <w:jc w:val="right"/>
              <w:spacing w:after="0" w:line="216" w:lineRule="exact"/>
              <w:rPr>
                <w:sz w:val="20"/>
                <w:szCs w:val="20"/>
                <w:color w:val="auto"/>
              </w:rPr>
            </w:pPr>
            <w:r>
              <w:rPr>
                <w:rFonts w:ascii="Arial" w:cs="Arial" w:eastAsia="Arial" w:hAnsi="Arial"/>
                <w:sz w:val="20"/>
                <w:szCs w:val="20"/>
                <w:color w:val="auto"/>
              </w:rPr>
              <w:t>(42,140)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line="216" w:lineRule="exact"/>
              <w:rPr>
                <w:sz w:val="20"/>
                <w:szCs w:val="20"/>
                <w:color w:val="auto"/>
              </w:rPr>
            </w:pPr>
            <w:r>
              <w:rPr>
                <w:rFonts w:ascii="Arial" w:cs="Arial" w:eastAsia="Arial" w:hAnsi="Arial"/>
                <w:sz w:val="20"/>
                <w:szCs w:val="20"/>
                <w:color w:val="auto"/>
                <w:w w:val="96"/>
              </w:rPr>
              <w:t>(27,279)</w:t>
            </w: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spacing w:after="0" w:line="209" w:lineRule="exact"/>
              <w:rPr>
                <w:sz w:val="20"/>
                <w:szCs w:val="20"/>
                <w:color w:val="auto"/>
              </w:rPr>
            </w:pPr>
            <w:r>
              <w:rPr>
                <w:rFonts w:ascii="Arial" w:cs="Arial" w:eastAsia="Arial" w:hAnsi="Arial"/>
                <w:sz w:val="20"/>
                <w:szCs w:val="20"/>
                <w:color w:val="auto"/>
              </w:rPr>
              <w:t>Total equity</w:t>
            </w:r>
          </w:p>
        </w:tc>
        <w:tc>
          <w:tcPr>
            <w:tcW w:w="14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16,650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7,038</w:t>
            </w:r>
          </w:p>
        </w:tc>
      </w:tr>
      <w:tr>
        <w:trPr>
          <w:trHeight w:val="209"/>
        </w:trPr>
        <w:tc>
          <w:tcPr>
            <w:tcW w:w="20" w:type="dxa"/>
            <w:vAlign w:val="bottom"/>
          </w:tcPr>
          <w:p>
            <w:pPr>
              <w:spacing w:after="0"/>
              <w:rPr>
                <w:sz w:val="18"/>
                <w:szCs w:val="18"/>
                <w:color w:val="auto"/>
              </w:rPr>
            </w:pPr>
          </w:p>
        </w:tc>
        <w:tc>
          <w:tcPr>
            <w:tcW w:w="3760" w:type="dxa"/>
            <w:vAlign w:val="bottom"/>
          </w:tcPr>
          <w:p>
            <w:pPr>
              <w:spacing w:after="0" w:line="209" w:lineRule="exact"/>
              <w:rPr>
                <w:sz w:val="20"/>
                <w:szCs w:val="20"/>
                <w:color w:val="auto"/>
              </w:rPr>
            </w:pPr>
            <w:r>
              <w:rPr>
                <w:rFonts w:ascii="Arial" w:cs="Arial" w:eastAsia="Arial" w:hAnsi="Arial"/>
                <w:sz w:val="20"/>
                <w:szCs w:val="20"/>
                <w:color w:val="auto"/>
              </w:rPr>
              <w:t>Total liabilities and equity</w:t>
            </w:r>
          </w:p>
        </w:tc>
        <w:tc>
          <w:tcPr>
            <w:tcW w:w="1420" w:type="dxa"/>
            <w:vAlign w:val="bottom"/>
          </w:tcPr>
          <w:p>
            <w:pPr>
              <w:spacing w:after="0"/>
              <w:rPr>
                <w:sz w:val="18"/>
                <w:szCs w:val="18"/>
                <w:color w:val="auto"/>
              </w:rPr>
            </w:pPr>
          </w:p>
        </w:tc>
        <w:tc>
          <w:tcPr>
            <w:tcW w:w="86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$ 24,116</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11,965</w:t>
            </w: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Evaxion Biotech A/S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Consolidated Statements of Comprehensive Loss Data (Unaudited)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(USD in thousands, except per share data)</w:t>
      </w:r>
    </w:p>
    <w:p>
      <w:pPr>
        <w:spacing w:after="0" w:line="200" w:lineRule="exact"/>
        <w:rPr>
          <w:sz w:val="20"/>
          <w:szCs w:val="20"/>
          <w:color w:val="auto"/>
        </w:rPr>
      </w:pPr>
    </w:p>
    <w:p>
      <w:pPr>
        <w:spacing w:after="0" w:line="30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gridSpan w:val="4"/>
          </w:tcPr>
          <w:p>
            <w:pPr>
              <w:jc w:val="right"/>
              <w:ind w:right="561"/>
              <w:spacing w:after="0"/>
              <w:rPr>
                <w:sz w:val="20"/>
                <w:szCs w:val="20"/>
                <w:color w:val="auto"/>
              </w:rPr>
            </w:pPr>
            <w:r>
              <w:rPr>
                <w:rFonts w:ascii="Arial" w:cs="Arial" w:eastAsia="Arial" w:hAnsi="Arial"/>
                <w:sz w:val="20"/>
                <w:szCs w:val="20"/>
                <w:b w:val="1"/>
                <w:bCs w:val="1"/>
                <w:color w:val="auto"/>
              </w:rPr>
              <w:t>Three Months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gridSpan w:val="4"/>
          </w:tcPr>
          <w:p>
            <w:pPr>
              <w:jc w:val="right"/>
              <w:ind w:right="601"/>
              <w:spacing w:after="0"/>
              <w:rPr>
                <w:sz w:val="20"/>
                <w:szCs w:val="20"/>
                <w:color w:val="auto"/>
              </w:rPr>
            </w:pPr>
            <w:r>
              <w:rPr>
                <w:rFonts w:ascii="Arial" w:cs="Arial" w:eastAsia="Arial" w:hAnsi="Arial"/>
                <w:sz w:val="20"/>
                <w:szCs w:val="20"/>
                <w:b w:val="1"/>
                <w:bCs w:val="1"/>
                <w:color w:val="auto"/>
              </w:rPr>
              <w:t>Nine months</w:t>
            </w: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4"/>
          </w:tcPr>
          <w:p>
            <w:pPr>
              <w:jc w:val="right"/>
              <w:ind w:right="561"/>
              <w:spacing w:after="0" w:line="216" w:lineRule="exact"/>
              <w:rPr>
                <w:sz w:val="20"/>
                <w:szCs w:val="20"/>
                <w:color w:val="auto"/>
              </w:rPr>
            </w:pPr>
            <w:r>
              <w:rPr>
                <w:rFonts w:ascii="Arial" w:cs="Arial" w:eastAsia="Arial" w:hAnsi="Arial"/>
                <w:sz w:val="20"/>
                <w:szCs w:val="20"/>
                <w:b w:val="1"/>
                <w:bCs w:val="1"/>
                <w:color w:val="auto"/>
              </w:rPr>
              <w:t>Ended Sep 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4"/>
          </w:tcPr>
          <w:p>
            <w:pPr>
              <w:jc w:val="right"/>
              <w:ind w:right="541"/>
              <w:spacing w:after="0" w:line="216" w:lineRule="exact"/>
              <w:rPr>
                <w:sz w:val="20"/>
                <w:szCs w:val="20"/>
                <w:color w:val="auto"/>
              </w:rPr>
            </w:pPr>
            <w:r>
              <w:rPr>
                <w:rFonts w:ascii="Arial" w:cs="Arial" w:eastAsia="Arial" w:hAnsi="Arial"/>
                <w:sz w:val="20"/>
                <w:szCs w:val="20"/>
                <w:b w:val="1"/>
                <w:bCs w:val="1"/>
                <w:color w:val="auto"/>
              </w:rPr>
              <w:t>Ended Sep 30</w:t>
            </w:r>
          </w:p>
        </w:tc>
      </w:tr>
      <w:tr>
        <w:trPr>
          <w:trHeight w:val="244"/>
        </w:trPr>
        <w:tc>
          <w:tcPr>
            <w:tcW w:w="20" w:type="dxa"/>
            <w:vAlign w:val="bottom"/>
          </w:tcPr>
          <w:p>
            <w:pPr>
              <w:spacing w:after="0"/>
              <w:rPr>
                <w:sz w:val="21"/>
                <w:szCs w:val="21"/>
                <w:color w:val="auto"/>
              </w:rPr>
            </w:pPr>
          </w:p>
        </w:tc>
        <w:tc>
          <w:tcPr>
            <w:tcW w:w="33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61"/>
              <w:spacing w:after="0"/>
              <w:rPr>
                <w:sz w:val="20"/>
                <w:szCs w:val="20"/>
                <w:color w:val="auto"/>
              </w:rPr>
            </w:pPr>
            <w:r>
              <w:rPr>
                <w:rFonts w:ascii="Arial" w:cs="Arial" w:eastAsia="Arial" w:hAnsi="Arial"/>
                <w:sz w:val="20"/>
                <w:szCs w:val="20"/>
                <w:b w:val="1"/>
                <w:bCs w:val="1"/>
                <w:color w:val="auto"/>
              </w:rPr>
              <w:t>2021</w:t>
            </w:r>
          </w:p>
        </w:tc>
        <w:tc>
          <w:tcPr>
            <w:tcW w:w="2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b w:val="1"/>
                <w:bCs w:val="1"/>
                <w:color w:val="auto"/>
              </w:rPr>
              <w:t>2020</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b w:val="1"/>
                <w:bCs w:val="1"/>
                <w:color w:val="auto"/>
              </w:rPr>
              <w:t>2021</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b w:val="1"/>
                <w:bCs w:val="1"/>
                <w:color w:val="auto"/>
              </w:rPr>
              <w:t>2020</w:t>
            </w:r>
          </w:p>
        </w:tc>
      </w:tr>
      <w:tr>
        <w:trPr>
          <w:trHeight w:val="192"/>
        </w:trPr>
        <w:tc>
          <w:tcPr>
            <w:tcW w:w="20" w:type="dxa"/>
            <w:vAlign w:val="bottom"/>
          </w:tcPr>
          <w:p>
            <w:pPr>
              <w:spacing w:after="0"/>
              <w:rPr>
                <w:sz w:val="16"/>
                <w:szCs w:val="16"/>
                <w:color w:val="auto"/>
              </w:rPr>
            </w:pPr>
          </w:p>
        </w:tc>
        <w:tc>
          <w:tcPr>
            <w:tcW w:w="3380" w:type="dxa"/>
            <w:vAlign w:val="bottom"/>
            <w:shd w:val="clear" w:color="auto" w:fill="CCEEFF"/>
          </w:tcPr>
          <w:p>
            <w:pPr>
              <w:spacing w:after="0" w:line="192" w:lineRule="exact"/>
              <w:rPr>
                <w:sz w:val="20"/>
                <w:szCs w:val="20"/>
                <w:color w:val="auto"/>
              </w:rPr>
            </w:pPr>
            <w:r>
              <w:rPr>
                <w:rFonts w:ascii="Arial" w:cs="Arial" w:eastAsia="Arial" w:hAnsi="Arial"/>
                <w:sz w:val="20"/>
                <w:szCs w:val="20"/>
                <w:color w:val="auto"/>
              </w:rPr>
              <w:t>Research and development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20"/>
        </w:trPr>
        <w:tc>
          <w:tcPr>
            <w:tcW w:w="20" w:type="dxa"/>
            <w:vAlign w:val="bottom"/>
          </w:tcPr>
          <w:p>
            <w:pPr>
              <w:spacing w:after="0"/>
              <w:rPr>
                <w:sz w:val="19"/>
                <w:szCs w:val="19"/>
                <w:color w:val="auto"/>
              </w:rPr>
            </w:pPr>
          </w:p>
        </w:tc>
        <w:tc>
          <w:tcPr>
            <w:tcW w:w="3380" w:type="dxa"/>
            <w:vAlign w:val="bottom"/>
            <w:shd w:val="clear" w:color="auto" w:fill="CCEEFF"/>
          </w:tcPr>
          <w:p>
            <w:pPr>
              <w:ind w:left="120"/>
              <w:spacing w:after="0" w:line="220" w:lineRule="exact"/>
              <w:rPr>
                <w:sz w:val="20"/>
                <w:szCs w:val="20"/>
                <w:color w:val="auto"/>
              </w:rPr>
            </w:pPr>
            <w:r>
              <w:rPr>
                <w:rFonts w:ascii="Arial" w:cs="Arial" w:eastAsia="Arial" w:hAnsi="Arial"/>
                <w:sz w:val="20"/>
                <w:szCs w:val="20"/>
                <w:color w:val="auto"/>
              </w:rPr>
              <w:t>expenses</w:t>
            </w:r>
          </w:p>
        </w:tc>
        <w:tc>
          <w:tcPr>
            <w:tcW w:w="240" w:type="dxa"/>
            <w:vAlign w:val="bottom"/>
            <w:gridSpan w:val="2"/>
            <w:shd w:val="clear" w:color="auto" w:fill="CCEEFF"/>
          </w:tcPr>
          <w:p>
            <w:pPr>
              <w:jc w:val="right"/>
              <w:spacing w:after="0" w:line="220" w:lineRule="exact"/>
              <w:rPr>
                <w:sz w:val="20"/>
                <w:szCs w:val="20"/>
                <w:color w:val="auto"/>
              </w:rPr>
            </w:pPr>
            <w:r>
              <w:rPr>
                <w:rFonts w:ascii="Arial" w:cs="Arial" w:eastAsia="Arial" w:hAnsi="Arial"/>
                <w:sz w:val="20"/>
                <w:szCs w:val="20"/>
                <w:color w:val="auto"/>
              </w:rPr>
              <w:t>$</w:t>
            </w:r>
          </w:p>
        </w:tc>
        <w:tc>
          <w:tcPr>
            <w:tcW w:w="1060" w:type="dxa"/>
            <w:vAlign w:val="bottom"/>
            <w:shd w:val="clear" w:color="auto" w:fill="CCEEFF"/>
          </w:tcPr>
          <w:p>
            <w:pPr>
              <w:jc w:val="right"/>
              <w:spacing w:after="0" w:line="220" w:lineRule="exact"/>
              <w:rPr>
                <w:sz w:val="20"/>
                <w:szCs w:val="20"/>
                <w:color w:val="auto"/>
              </w:rPr>
            </w:pPr>
            <w:r>
              <w:rPr>
                <w:rFonts w:ascii="Arial" w:cs="Arial" w:eastAsia="Arial" w:hAnsi="Arial"/>
                <w:sz w:val="20"/>
                <w:szCs w:val="20"/>
                <w:color w:val="auto"/>
              </w:rPr>
              <w:t>4,417</w:t>
            </w:r>
          </w:p>
        </w:tc>
        <w:tc>
          <w:tcPr>
            <w:tcW w:w="360" w:type="dxa"/>
            <w:vAlign w:val="bottom"/>
            <w:gridSpan w:val="2"/>
            <w:shd w:val="clear" w:color="auto" w:fill="CCEEFF"/>
          </w:tcPr>
          <w:p>
            <w:pPr>
              <w:jc w:val="right"/>
              <w:spacing w:after="0" w:line="220" w:lineRule="exact"/>
              <w:rPr>
                <w:sz w:val="20"/>
                <w:szCs w:val="20"/>
                <w:color w:val="auto"/>
              </w:rPr>
            </w:pPr>
            <w:r>
              <w:rPr>
                <w:rFonts w:ascii="Arial" w:cs="Arial" w:eastAsia="Arial" w:hAnsi="Arial"/>
                <w:sz w:val="20"/>
                <w:szCs w:val="20"/>
                <w:color w:val="auto"/>
              </w:rPr>
              <w:t>$</w:t>
            </w:r>
          </w:p>
        </w:tc>
        <w:tc>
          <w:tcPr>
            <w:tcW w:w="1060" w:type="dxa"/>
            <w:vAlign w:val="bottom"/>
            <w:shd w:val="clear" w:color="auto" w:fill="CCEEFF"/>
          </w:tcPr>
          <w:p>
            <w:pPr>
              <w:jc w:val="right"/>
              <w:spacing w:after="0" w:line="220" w:lineRule="exact"/>
              <w:rPr>
                <w:sz w:val="20"/>
                <w:szCs w:val="20"/>
                <w:color w:val="auto"/>
              </w:rPr>
            </w:pPr>
            <w:r>
              <w:rPr>
                <w:rFonts w:ascii="Arial" w:cs="Arial" w:eastAsia="Arial" w:hAnsi="Arial"/>
                <w:sz w:val="20"/>
                <w:szCs w:val="20"/>
                <w:color w:val="auto"/>
              </w:rPr>
              <w:t>2,966</w:t>
            </w:r>
          </w:p>
        </w:tc>
        <w:tc>
          <w:tcPr>
            <w:tcW w:w="340" w:type="dxa"/>
            <w:vAlign w:val="bottom"/>
            <w:gridSpan w:val="2"/>
            <w:shd w:val="clear" w:color="auto" w:fill="CCEEFF"/>
          </w:tcPr>
          <w:p>
            <w:pPr>
              <w:jc w:val="right"/>
              <w:spacing w:after="0" w:line="220" w:lineRule="exact"/>
              <w:rPr>
                <w:sz w:val="20"/>
                <w:szCs w:val="20"/>
                <w:color w:val="auto"/>
              </w:rPr>
            </w:pPr>
            <w:r>
              <w:rPr>
                <w:rFonts w:ascii="Arial" w:cs="Arial" w:eastAsia="Arial" w:hAnsi="Arial"/>
                <w:sz w:val="20"/>
                <w:szCs w:val="20"/>
                <w:color w:val="auto"/>
              </w:rPr>
              <w:t>$</w:t>
            </w:r>
          </w:p>
        </w:tc>
        <w:tc>
          <w:tcPr>
            <w:tcW w:w="1060" w:type="dxa"/>
            <w:vAlign w:val="bottom"/>
            <w:shd w:val="clear" w:color="auto" w:fill="CCEEFF"/>
          </w:tcPr>
          <w:p>
            <w:pPr>
              <w:jc w:val="right"/>
              <w:spacing w:after="0" w:line="220" w:lineRule="exact"/>
              <w:rPr>
                <w:sz w:val="20"/>
                <w:szCs w:val="20"/>
                <w:color w:val="auto"/>
              </w:rPr>
            </w:pPr>
            <w:r>
              <w:rPr>
                <w:rFonts w:ascii="Arial" w:cs="Arial" w:eastAsia="Arial" w:hAnsi="Arial"/>
                <w:sz w:val="20"/>
                <w:szCs w:val="20"/>
                <w:color w:val="auto"/>
              </w:rPr>
              <w:t>13,429</w:t>
            </w:r>
          </w:p>
        </w:tc>
        <w:tc>
          <w:tcPr>
            <w:tcW w:w="340" w:type="dxa"/>
            <w:vAlign w:val="bottom"/>
            <w:gridSpan w:val="2"/>
            <w:shd w:val="clear" w:color="auto" w:fill="CCEEFF"/>
          </w:tcPr>
          <w:p>
            <w:pPr>
              <w:jc w:val="right"/>
              <w:spacing w:after="0" w:line="220" w:lineRule="exact"/>
              <w:rPr>
                <w:sz w:val="20"/>
                <w:szCs w:val="20"/>
                <w:color w:val="auto"/>
              </w:rPr>
            </w:pPr>
            <w:r>
              <w:rPr>
                <w:rFonts w:ascii="Arial" w:cs="Arial" w:eastAsia="Arial" w:hAnsi="Arial"/>
                <w:sz w:val="20"/>
                <w:szCs w:val="20"/>
                <w:color w:val="auto"/>
              </w:rPr>
              <w:t>$</w:t>
            </w:r>
          </w:p>
        </w:tc>
        <w:tc>
          <w:tcPr>
            <w:tcW w:w="1060" w:type="dxa"/>
            <w:vAlign w:val="bottom"/>
            <w:shd w:val="clear" w:color="auto" w:fill="CCEEFF"/>
          </w:tcPr>
          <w:p>
            <w:pPr>
              <w:jc w:val="right"/>
              <w:spacing w:after="0" w:line="220" w:lineRule="exact"/>
              <w:rPr>
                <w:sz w:val="20"/>
                <w:szCs w:val="20"/>
                <w:color w:val="auto"/>
              </w:rPr>
            </w:pPr>
            <w:r>
              <w:rPr>
                <w:rFonts w:ascii="Arial" w:cs="Arial" w:eastAsia="Arial" w:hAnsi="Arial"/>
                <w:sz w:val="20"/>
                <w:szCs w:val="20"/>
                <w:color w:val="auto"/>
              </w:rPr>
              <w:t>8,046</w:t>
            </w:r>
          </w:p>
        </w:tc>
      </w:tr>
      <w:tr>
        <w:trPr>
          <w:trHeight w:val="216"/>
        </w:trPr>
        <w:tc>
          <w:tcPr>
            <w:tcW w:w="20" w:type="dxa"/>
            <w:vAlign w:val="bottom"/>
          </w:tcPr>
          <w:p>
            <w:pPr>
              <w:spacing w:after="0"/>
              <w:rPr>
                <w:sz w:val="18"/>
                <w:szCs w:val="18"/>
                <w:color w:val="auto"/>
              </w:rPr>
            </w:pPr>
          </w:p>
        </w:tc>
        <w:tc>
          <w:tcPr>
            <w:tcW w:w="3380" w:type="dxa"/>
            <w:vAlign w:val="bottom"/>
            <w:tcBorders>
              <w:bottom w:val="single" w:sz="8" w:color="CCEEFF"/>
            </w:tcBorders>
          </w:tcPr>
          <w:p>
            <w:pPr>
              <w:spacing w:after="0" w:line="216" w:lineRule="exact"/>
              <w:rPr>
                <w:sz w:val="20"/>
                <w:szCs w:val="20"/>
                <w:color w:val="auto"/>
              </w:rPr>
            </w:pPr>
            <w:r>
              <w:rPr>
                <w:rFonts w:ascii="Arial" w:cs="Arial" w:eastAsia="Arial" w:hAnsi="Arial"/>
                <w:sz w:val="20"/>
                <w:szCs w:val="20"/>
                <w:color w:val="auto"/>
              </w:rPr>
              <w:t>General and administrative expenses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1,495</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1,719</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4,684</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3,872</w:t>
            </w:r>
          </w:p>
        </w:tc>
      </w:tr>
      <w:tr>
        <w:trPr>
          <w:trHeight w:val="210"/>
        </w:trPr>
        <w:tc>
          <w:tcPr>
            <w:tcW w:w="20" w:type="dxa"/>
            <w:vAlign w:val="bottom"/>
          </w:tcPr>
          <w:p>
            <w:pPr>
              <w:spacing w:after="0"/>
              <w:rPr>
                <w:sz w:val="18"/>
                <w:szCs w:val="18"/>
                <w:color w:val="auto"/>
              </w:rPr>
            </w:pPr>
          </w:p>
        </w:tc>
        <w:tc>
          <w:tcPr>
            <w:tcW w:w="3380" w:type="dxa"/>
            <w:vAlign w:val="bottom"/>
            <w:shd w:val="clear" w:color="auto" w:fill="CCEEFF"/>
          </w:tcPr>
          <w:p>
            <w:pPr>
              <w:spacing w:after="0" w:line="209" w:lineRule="exact"/>
              <w:rPr>
                <w:sz w:val="20"/>
                <w:szCs w:val="20"/>
                <w:color w:val="auto"/>
              </w:rPr>
            </w:pPr>
            <w:r>
              <w:rPr>
                <w:rFonts w:ascii="Arial" w:cs="Arial" w:eastAsia="Arial" w:hAnsi="Arial"/>
                <w:sz w:val="20"/>
                <w:szCs w:val="20"/>
                <w:color w:val="auto"/>
              </w:rPr>
              <w:t>Operating loss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line="209" w:lineRule="exact"/>
              <w:rPr>
                <w:sz w:val="20"/>
                <w:szCs w:val="20"/>
                <w:color w:val="auto"/>
              </w:rPr>
            </w:pPr>
            <w:r>
              <w:rPr>
                <w:rFonts w:ascii="Arial" w:cs="Arial" w:eastAsia="Arial" w:hAnsi="Arial"/>
                <w:sz w:val="20"/>
                <w:szCs w:val="20"/>
                <w:color w:val="auto"/>
              </w:rPr>
              <w:t>(5,912)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line="209" w:lineRule="exact"/>
              <w:rPr>
                <w:sz w:val="20"/>
                <w:szCs w:val="20"/>
                <w:color w:val="auto"/>
              </w:rPr>
            </w:pPr>
            <w:r>
              <w:rPr>
                <w:rFonts w:ascii="Arial" w:cs="Arial" w:eastAsia="Arial" w:hAnsi="Arial"/>
                <w:sz w:val="20"/>
                <w:szCs w:val="20"/>
                <w:color w:val="auto"/>
              </w:rPr>
              <w:t>(4,685)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line="209" w:lineRule="exact"/>
              <w:rPr>
                <w:sz w:val="20"/>
                <w:szCs w:val="20"/>
                <w:color w:val="auto"/>
              </w:rPr>
            </w:pPr>
            <w:r>
              <w:rPr>
                <w:rFonts w:ascii="Arial" w:cs="Arial" w:eastAsia="Arial" w:hAnsi="Arial"/>
                <w:sz w:val="20"/>
                <w:szCs w:val="20"/>
                <w:color w:val="auto"/>
              </w:rPr>
              <w:t>(18,113)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line="209" w:lineRule="exact"/>
              <w:rPr>
                <w:sz w:val="20"/>
                <w:szCs w:val="20"/>
                <w:color w:val="auto"/>
              </w:rPr>
            </w:pPr>
            <w:r>
              <w:rPr>
                <w:rFonts w:ascii="Arial" w:cs="Arial" w:eastAsia="Arial" w:hAnsi="Arial"/>
                <w:sz w:val="20"/>
                <w:szCs w:val="20"/>
                <w:color w:val="auto"/>
              </w:rPr>
              <w:t>(11,918)</w:t>
            </w:r>
          </w:p>
        </w:tc>
      </w:tr>
      <w:tr>
        <w:trPr>
          <w:trHeight w:val="216"/>
        </w:trPr>
        <w:tc>
          <w:tcPr>
            <w:tcW w:w="20" w:type="dxa"/>
            <w:vAlign w:val="bottom"/>
          </w:tcPr>
          <w:p>
            <w:pPr>
              <w:spacing w:after="0"/>
              <w:rPr>
                <w:sz w:val="18"/>
                <w:szCs w:val="18"/>
                <w:color w:val="auto"/>
              </w:rPr>
            </w:pPr>
          </w:p>
        </w:tc>
        <w:tc>
          <w:tcPr>
            <w:tcW w:w="3380" w:type="dxa"/>
            <w:vAlign w:val="bottom"/>
          </w:tcPr>
          <w:p>
            <w:pPr>
              <w:spacing w:after="0" w:line="216" w:lineRule="exact"/>
              <w:rPr>
                <w:sz w:val="20"/>
                <w:szCs w:val="20"/>
                <w:color w:val="auto"/>
              </w:rPr>
            </w:pPr>
            <w:r>
              <w:rPr>
                <w:rFonts w:ascii="Arial" w:cs="Arial" w:eastAsia="Arial" w:hAnsi="Arial"/>
                <w:sz w:val="20"/>
                <w:szCs w:val="20"/>
                <w:color w:val="auto"/>
              </w:rPr>
              <w:t>Finance income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line="216" w:lineRule="exact"/>
              <w:rPr>
                <w:sz w:val="20"/>
                <w:szCs w:val="20"/>
                <w:color w:val="auto"/>
              </w:rPr>
            </w:pPr>
            <w:r>
              <w:rPr>
                <w:rFonts w:ascii="Arial" w:cs="Arial" w:eastAsia="Arial" w:hAnsi="Arial"/>
                <w:sz w:val="20"/>
                <w:szCs w:val="20"/>
                <w:color w:val="auto"/>
              </w:rPr>
              <w:t>288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line="216" w:lineRule="exact"/>
              <w:rPr>
                <w:sz w:val="20"/>
                <w:szCs w:val="20"/>
                <w:color w:val="auto"/>
              </w:rPr>
            </w:pPr>
            <w:r>
              <w:rPr>
                <w:rFonts w:ascii="Arial" w:cs="Arial" w:eastAsia="Arial" w:hAnsi="Arial"/>
                <w:sz w:val="20"/>
                <w:szCs w:val="20"/>
                <w:color w:val="auto"/>
              </w:rPr>
              <w:t>100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line="216" w:lineRule="exact"/>
              <w:rPr>
                <w:sz w:val="20"/>
                <w:szCs w:val="20"/>
                <w:color w:val="auto"/>
              </w:rPr>
            </w:pPr>
            <w:r>
              <w:rPr>
                <w:rFonts w:ascii="Arial" w:cs="Arial" w:eastAsia="Arial" w:hAnsi="Arial"/>
                <w:sz w:val="20"/>
                <w:szCs w:val="20"/>
                <w:color w:val="auto"/>
              </w:rPr>
              <w:t>1,293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line="216" w:lineRule="exact"/>
              <w:rPr>
                <w:sz w:val="20"/>
                <w:szCs w:val="20"/>
                <w:color w:val="auto"/>
              </w:rPr>
            </w:pPr>
            <w:r>
              <w:rPr>
                <w:rFonts w:ascii="Arial" w:cs="Arial" w:eastAsia="Arial" w:hAnsi="Arial"/>
                <w:sz w:val="20"/>
                <w:szCs w:val="20"/>
                <w:color w:val="auto"/>
              </w:rPr>
              <w:t>122</w:t>
            </w: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Finance expenses</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(51)</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(3)</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(843)</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(7)</w:t>
            </w:r>
          </w:p>
        </w:tc>
      </w:tr>
      <w:tr>
        <w:trPr>
          <w:trHeight w:val="210"/>
        </w:trPr>
        <w:tc>
          <w:tcPr>
            <w:tcW w:w="3400" w:type="dxa"/>
            <w:vAlign w:val="bottom"/>
            <w:gridSpan w:val="2"/>
          </w:tcPr>
          <w:p>
            <w:pPr>
              <w:ind w:left="20"/>
              <w:spacing w:after="0" w:line="209" w:lineRule="exact"/>
              <w:rPr>
                <w:sz w:val="20"/>
                <w:szCs w:val="20"/>
                <w:color w:val="auto"/>
              </w:rPr>
            </w:pPr>
            <w:r>
              <w:rPr>
                <w:rFonts w:ascii="Arial" w:cs="Arial" w:eastAsia="Arial" w:hAnsi="Arial"/>
                <w:sz w:val="20"/>
                <w:szCs w:val="20"/>
                <w:color w:val="auto"/>
              </w:rPr>
              <w:t>Net loss before tax</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line="209" w:lineRule="exact"/>
              <w:rPr>
                <w:sz w:val="20"/>
                <w:szCs w:val="20"/>
                <w:color w:val="auto"/>
              </w:rPr>
            </w:pPr>
            <w:r>
              <w:rPr>
                <w:rFonts w:ascii="Arial" w:cs="Arial" w:eastAsia="Arial" w:hAnsi="Arial"/>
                <w:sz w:val="20"/>
                <w:szCs w:val="20"/>
                <w:color w:val="auto"/>
              </w:rPr>
              <w:t>(5,675)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line="209" w:lineRule="exact"/>
              <w:rPr>
                <w:sz w:val="20"/>
                <w:szCs w:val="20"/>
                <w:color w:val="auto"/>
              </w:rPr>
            </w:pPr>
            <w:r>
              <w:rPr>
                <w:rFonts w:ascii="Arial" w:cs="Arial" w:eastAsia="Arial" w:hAnsi="Arial"/>
                <w:sz w:val="20"/>
                <w:szCs w:val="20"/>
                <w:color w:val="auto"/>
              </w:rPr>
              <w:t>(4,588)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line="209" w:lineRule="exact"/>
              <w:rPr>
                <w:sz w:val="20"/>
                <w:szCs w:val="20"/>
                <w:color w:val="auto"/>
              </w:rPr>
            </w:pPr>
            <w:r>
              <w:rPr>
                <w:rFonts w:ascii="Arial" w:cs="Arial" w:eastAsia="Arial" w:hAnsi="Arial"/>
                <w:sz w:val="20"/>
                <w:szCs w:val="20"/>
                <w:color w:val="auto"/>
              </w:rPr>
              <w:t>(17,663)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line="209" w:lineRule="exact"/>
              <w:rPr>
                <w:sz w:val="20"/>
                <w:szCs w:val="20"/>
                <w:color w:val="auto"/>
              </w:rPr>
            </w:pPr>
            <w:r>
              <w:rPr>
                <w:rFonts w:ascii="Arial" w:cs="Arial" w:eastAsia="Arial" w:hAnsi="Arial"/>
                <w:sz w:val="20"/>
                <w:szCs w:val="20"/>
                <w:color w:val="auto"/>
              </w:rPr>
              <w:t>(11,803)</w:t>
            </w: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Income tax benefit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425</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578</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1,501</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1,054</w:t>
            </w:r>
          </w:p>
        </w:tc>
      </w:tr>
      <w:tr>
        <w:trPr>
          <w:trHeight w:val="210"/>
        </w:trPr>
        <w:tc>
          <w:tcPr>
            <w:tcW w:w="3400" w:type="dxa"/>
            <w:vAlign w:val="bottom"/>
            <w:gridSpan w:val="2"/>
          </w:tcPr>
          <w:p>
            <w:pPr>
              <w:ind w:left="20"/>
              <w:spacing w:after="0" w:line="209" w:lineRule="exact"/>
              <w:rPr>
                <w:sz w:val="20"/>
                <w:szCs w:val="20"/>
                <w:color w:val="auto"/>
              </w:rPr>
            </w:pPr>
            <w:r>
              <w:rPr>
                <w:rFonts w:ascii="Arial" w:cs="Arial" w:eastAsia="Arial" w:hAnsi="Arial"/>
                <w:sz w:val="20"/>
                <w:szCs w:val="20"/>
                <w:color w:val="auto"/>
              </w:rPr>
              <w:t>Net loss for the period</w:t>
            </w:r>
          </w:p>
        </w:tc>
        <w:tc>
          <w:tcPr>
            <w:tcW w:w="140" w:type="dxa"/>
            <w:vAlign w:val="bottom"/>
          </w:tcPr>
          <w:p>
            <w:pPr>
              <w:spacing w:after="0"/>
              <w:rPr>
                <w:sz w:val="18"/>
                <w:szCs w:val="18"/>
                <w:color w:val="auto"/>
              </w:rPr>
            </w:pPr>
          </w:p>
        </w:tc>
        <w:tc>
          <w:tcPr>
            <w:tcW w:w="100" w:type="dxa"/>
            <w:vAlign w:val="bottom"/>
          </w:tcPr>
          <w:p>
            <w:pPr>
              <w:jc w:val="right"/>
              <w:spacing w:after="0" w:line="209" w:lineRule="exact"/>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line="209" w:lineRule="exact"/>
              <w:rPr>
                <w:sz w:val="20"/>
                <w:szCs w:val="20"/>
                <w:color w:val="auto"/>
              </w:rPr>
            </w:pPr>
            <w:r>
              <w:rPr>
                <w:rFonts w:ascii="Arial" w:cs="Arial" w:eastAsia="Arial" w:hAnsi="Arial"/>
                <w:sz w:val="20"/>
                <w:szCs w:val="20"/>
                <w:color w:val="auto"/>
              </w:rPr>
              <w:t>(5,250)</w:t>
            </w:r>
          </w:p>
        </w:tc>
        <w:tc>
          <w:tcPr>
            <w:tcW w:w="240" w:type="dxa"/>
            <w:vAlign w:val="bottom"/>
          </w:tcPr>
          <w:p>
            <w:pPr>
              <w:spacing w:after="0"/>
              <w:rPr>
                <w:sz w:val="18"/>
                <w:szCs w:val="18"/>
                <w:color w:val="auto"/>
              </w:rPr>
            </w:pPr>
          </w:p>
        </w:tc>
        <w:tc>
          <w:tcPr>
            <w:tcW w:w="120" w:type="dxa"/>
            <w:vAlign w:val="bottom"/>
          </w:tcPr>
          <w:p>
            <w:pPr>
              <w:jc w:val="right"/>
              <w:spacing w:after="0" w:line="209" w:lineRule="exact"/>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line="209" w:lineRule="exact"/>
              <w:rPr>
                <w:sz w:val="20"/>
                <w:szCs w:val="20"/>
                <w:color w:val="auto"/>
              </w:rPr>
            </w:pPr>
            <w:r>
              <w:rPr>
                <w:rFonts w:ascii="Arial" w:cs="Arial" w:eastAsia="Arial" w:hAnsi="Arial"/>
                <w:sz w:val="20"/>
                <w:szCs w:val="20"/>
                <w:color w:val="auto"/>
              </w:rPr>
              <w:t>(4,010)</w:t>
            </w:r>
          </w:p>
        </w:tc>
        <w:tc>
          <w:tcPr>
            <w:tcW w:w="220" w:type="dxa"/>
            <w:vAlign w:val="bottom"/>
          </w:tcPr>
          <w:p>
            <w:pPr>
              <w:spacing w:after="0"/>
              <w:rPr>
                <w:sz w:val="18"/>
                <w:szCs w:val="18"/>
                <w:color w:val="auto"/>
              </w:rPr>
            </w:pPr>
          </w:p>
        </w:tc>
        <w:tc>
          <w:tcPr>
            <w:tcW w:w="120" w:type="dxa"/>
            <w:vAlign w:val="bottom"/>
          </w:tcPr>
          <w:p>
            <w:pPr>
              <w:jc w:val="right"/>
              <w:spacing w:after="0" w:line="209" w:lineRule="exact"/>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line="209" w:lineRule="exact"/>
              <w:rPr>
                <w:sz w:val="20"/>
                <w:szCs w:val="20"/>
                <w:color w:val="auto"/>
              </w:rPr>
            </w:pPr>
            <w:r>
              <w:rPr>
                <w:rFonts w:ascii="Arial" w:cs="Arial" w:eastAsia="Arial" w:hAnsi="Arial"/>
                <w:sz w:val="20"/>
                <w:szCs w:val="20"/>
                <w:color w:val="auto"/>
              </w:rPr>
              <w:t>(16,162)</w:t>
            </w:r>
          </w:p>
        </w:tc>
        <w:tc>
          <w:tcPr>
            <w:tcW w:w="220" w:type="dxa"/>
            <w:vAlign w:val="bottom"/>
          </w:tcPr>
          <w:p>
            <w:pPr>
              <w:spacing w:after="0"/>
              <w:rPr>
                <w:sz w:val="18"/>
                <w:szCs w:val="18"/>
                <w:color w:val="auto"/>
              </w:rPr>
            </w:pPr>
          </w:p>
        </w:tc>
        <w:tc>
          <w:tcPr>
            <w:tcW w:w="120" w:type="dxa"/>
            <w:vAlign w:val="bottom"/>
          </w:tcPr>
          <w:p>
            <w:pPr>
              <w:jc w:val="right"/>
              <w:spacing w:after="0" w:line="209" w:lineRule="exact"/>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line="209" w:lineRule="exact"/>
              <w:rPr>
                <w:sz w:val="20"/>
                <w:szCs w:val="20"/>
                <w:color w:val="auto"/>
              </w:rPr>
            </w:pPr>
            <w:r>
              <w:rPr>
                <w:rFonts w:ascii="Arial" w:cs="Arial" w:eastAsia="Arial" w:hAnsi="Arial"/>
                <w:sz w:val="20"/>
                <w:szCs w:val="20"/>
                <w:color w:val="auto"/>
              </w:rPr>
              <w:t>(10,749)</w:t>
            </w:r>
          </w:p>
        </w:tc>
      </w:tr>
      <w:tr>
        <w:trPr>
          <w:trHeight w:val="212"/>
        </w:trPr>
        <w:tc>
          <w:tcPr>
            <w:tcW w:w="20" w:type="dxa"/>
            <w:vAlign w:val="bottom"/>
          </w:tcPr>
          <w:p>
            <w:pPr>
              <w:spacing w:after="0"/>
              <w:rPr>
                <w:sz w:val="18"/>
                <w:szCs w:val="18"/>
                <w:color w:val="auto"/>
              </w:rPr>
            </w:pPr>
          </w:p>
        </w:tc>
        <w:tc>
          <w:tcPr>
            <w:tcW w:w="3380" w:type="dxa"/>
            <w:vAlign w:val="bottom"/>
            <w:shd w:val="clear" w:color="auto" w:fill="CCEEFF"/>
          </w:tcPr>
          <w:p>
            <w:pPr>
              <w:spacing w:after="0" w:line="212" w:lineRule="exact"/>
              <w:rPr>
                <w:sz w:val="20"/>
                <w:szCs w:val="20"/>
                <w:color w:val="auto"/>
              </w:rPr>
            </w:pPr>
            <w:r>
              <w:rPr>
                <w:rFonts w:ascii="Arial" w:cs="Arial" w:eastAsia="Arial" w:hAnsi="Arial"/>
                <w:sz w:val="20"/>
                <w:szCs w:val="20"/>
                <w:color w:val="auto"/>
              </w:rPr>
              <w:t>Net loss attributable to equity holders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3380" w:type="dxa"/>
            <w:vAlign w:val="bottom"/>
            <w:shd w:val="clear" w:color="auto" w:fill="CCEEFF"/>
          </w:tcPr>
          <w:p>
            <w:pPr>
              <w:ind w:left="120"/>
              <w:spacing w:after="0" w:line="220" w:lineRule="exact"/>
              <w:rPr>
                <w:sz w:val="20"/>
                <w:szCs w:val="20"/>
                <w:color w:val="auto"/>
              </w:rPr>
            </w:pPr>
            <w:r>
              <w:rPr>
                <w:rFonts w:ascii="Arial" w:cs="Arial" w:eastAsia="Arial" w:hAnsi="Arial"/>
                <w:sz w:val="20"/>
                <w:szCs w:val="20"/>
                <w:color w:val="auto"/>
              </w:rPr>
              <w:t>of Evaxion Biotech A/S</w:t>
            </w:r>
          </w:p>
        </w:tc>
        <w:tc>
          <w:tcPr>
            <w:tcW w:w="240" w:type="dxa"/>
            <w:vAlign w:val="bottom"/>
            <w:gridSpan w:val="2"/>
            <w:shd w:val="clear" w:color="auto" w:fill="CCEEFF"/>
          </w:tcPr>
          <w:p>
            <w:pPr>
              <w:jc w:val="right"/>
              <w:spacing w:after="0" w:line="220" w:lineRule="exact"/>
              <w:rPr>
                <w:sz w:val="20"/>
                <w:szCs w:val="20"/>
                <w:color w:val="auto"/>
              </w:rPr>
            </w:pPr>
            <w:r>
              <w:rPr>
                <w:rFonts w:ascii="Arial" w:cs="Arial" w:eastAsia="Arial" w:hAnsi="Arial"/>
                <w:sz w:val="20"/>
                <w:szCs w:val="20"/>
                <w:color w:val="auto"/>
              </w:rPr>
              <w:t>$</w:t>
            </w:r>
          </w:p>
        </w:tc>
        <w:tc>
          <w:tcPr>
            <w:tcW w:w="1060" w:type="dxa"/>
            <w:vAlign w:val="bottom"/>
            <w:shd w:val="clear" w:color="auto" w:fill="CCEEFF"/>
          </w:tcPr>
          <w:p>
            <w:pPr>
              <w:jc w:val="right"/>
              <w:spacing w:after="0" w:line="220" w:lineRule="exact"/>
              <w:rPr>
                <w:sz w:val="20"/>
                <w:szCs w:val="20"/>
                <w:color w:val="auto"/>
              </w:rPr>
            </w:pPr>
            <w:r>
              <w:rPr>
                <w:rFonts w:ascii="Arial" w:cs="Arial" w:eastAsia="Arial" w:hAnsi="Arial"/>
                <w:sz w:val="20"/>
                <w:szCs w:val="20"/>
                <w:color w:val="auto"/>
              </w:rPr>
              <w:t>(5,250)</w:t>
            </w:r>
          </w:p>
        </w:tc>
        <w:tc>
          <w:tcPr>
            <w:tcW w:w="360" w:type="dxa"/>
            <w:vAlign w:val="bottom"/>
            <w:gridSpan w:val="2"/>
            <w:shd w:val="clear" w:color="auto" w:fill="CCEEFF"/>
          </w:tcPr>
          <w:p>
            <w:pPr>
              <w:jc w:val="right"/>
              <w:spacing w:after="0" w:line="220" w:lineRule="exact"/>
              <w:rPr>
                <w:sz w:val="20"/>
                <w:szCs w:val="20"/>
                <w:color w:val="auto"/>
              </w:rPr>
            </w:pPr>
            <w:r>
              <w:rPr>
                <w:rFonts w:ascii="Arial" w:cs="Arial" w:eastAsia="Arial" w:hAnsi="Arial"/>
                <w:sz w:val="20"/>
                <w:szCs w:val="20"/>
                <w:color w:val="auto"/>
              </w:rPr>
              <w:t>$</w:t>
            </w:r>
          </w:p>
        </w:tc>
        <w:tc>
          <w:tcPr>
            <w:tcW w:w="1060" w:type="dxa"/>
            <w:vAlign w:val="bottom"/>
            <w:shd w:val="clear" w:color="auto" w:fill="CCEEFF"/>
          </w:tcPr>
          <w:p>
            <w:pPr>
              <w:jc w:val="right"/>
              <w:spacing w:after="0" w:line="220" w:lineRule="exact"/>
              <w:rPr>
                <w:sz w:val="20"/>
                <w:szCs w:val="20"/>
                <w:color w:val="auto"/>
              </w:rPr>
            </w:pPr>
            <w:r>
              <w:rPr>
                <w:rFonts w:ascii="Arial" w:cs="Arial" w:eastAsia="Arial" w:hAnsi="Arial"/>
                <w:sz w:val="20"/>
                <w:szCs w:val="20"/>
                <w:color w:val="auto"/>
              </w:rPr>
              <w:t>(4,010)</w:t>
            </w:r>
          </w:p>
        </w:tc>
        <w:tc>
          <w:tcPr>
            <w:tcW w:w="340" w:type="dxa"/>
            <w:vAlign w:val="bottom"/>
            <w:gridSpan w:val="2"/>
            <w:shd w:val="clear" w:color="auto" w:fill="CCEEFF"/>
          </w:tcPr>
          <w:p>
            <w:pPr>
              <w:jc w:val="right"/>
              <w:spacing w:after="0" w:line="220" w:lineRule="exact"/>
              <w:rPr>
                <w:sz w:val="20"/>
                <w:szCs w:val="20"/>
                <w:color w:val="auto"/>
              </w:rPr>
            </w:pPr>
            <w:r>
              <w:rPr>
                <w:rFonts w:ascii="Arial" w:cs="Arial" w:eastAsia="Arial" w:hAnsi="Arial"/>
                <w:sz w:val="20"/>
                <w:szCs w:val="20"/>
                <w:color w:val="auto"/>
              </w:rPr>
              <w:t>$</w:t>
            </w:r>
          </w:p>
        </w:tc>
        <w:tc>
          <w:tcPr>
            <w:tcW w:w="1060" w:type="dxa"/>
            <w:vAlign w:val="bottom"/>
            <w:shd w:val="clear" w:color="auto" w:fill="CCEEFF"/>
          </w:tcPr>
          <w:p>
            <w:pPr>
              <w:jc w:val="right"/>
              <w:spacing w:after="0" w:line="220" w:lineRule="exact"/>
              <w:rPr>
                <w:sz w:val="20"/>
                <w:szCs w:val="20"/>
                <w:color w:val="auto"/>
              </w:rPr>
            </w:pPr>
            <w:r>
              <w:rPr>
                <w:rFonts w:ascii="Arial" w:cs="Arial" w:eastAsia="Arial" w:hAnsi="Arial"/>
                <w:sz w:val="20"/>
                <w:szCs w:val="20"/>
                <w:color w:val="auto"/>
              </w:rPr>
              <w:t>(16,162)</w:t>
            </w:r>
          </w:p>
        </w:tc>
        <w:tc>
          <w:tcPr>
            <w:tcW w:w="340" w:type="dxa"/>
            <w:vAlign w:val="bottom"/>
            <w:gridSpan w:val="2"/>
            <w:shd w:val="clear" w:color="auto" w:fill="CCEEFF"/>
          </w:tcPr>
          <w:p>
            <w:pPr>
              <w:jc w:val="right"/>
              <w:spacing w:after="0" w:line="220" w:lineRule="exact"/>
              <w:rPr>
                <w:sz w:val="20"/>
                <w:szCs w:val="20"/>
                <w:color w:val="auto"/>
              </w:rPr>
            </w:pPr>
            <w:r>
              <w:rPr>
                <w:rFonts w:ascii="Arial" w:cs="Arial" w:eastAsia="Arial" w:hAnsi="Arial"/>
                <w:sz w:val="20"/>
                <w:szCs w:val="20"/>
                <w:color w:val="auto"/>
              </w:rPr>
              <w:t>$</w:t>
            </w:r>
          </w:p>
        </w:tc>
        <w:tc>
          <w:tcPr>
            <w:tcW w:w="1060" w:type="dxa"/>
            <w:vAlign w:val="bottom"/>
            <w:shd w:val="clear" w:color="auto" w:fill="CCEEFF"/>
          </w:tcPr>
          <w:p>
            <w:pPr>
              <w:jc w:val="right"/>
              <w:spacing w:after="0" w:line="220" w:lineRule="exact"/>
              <w:rPr>
                <w:sz w:val="20"/>
                <w:szCs w:val="20"/>
                <w:color w:val="auto"/>
              </w:rPr>
            </w:pPr>
            <w:r>
              <w:rPr>
                <w:rFonts w:ascii="Arial" w:cs="Arial" w:eastAsia="Arial" w:hAnsi="Arial"/>
                <w:sz w:val="20"/>
                <w:szCs w:val="20"/>
                <w:color w:val="auto"/>
              </w:rPr>
              <w:t>(10,749)</w:t>
            </w:r>
          </w:p>
        </w:tc>
      </w:tr>
      <w:tr>
        <w:trPr>
          <w:trHeight w:val="216"/>
        </w:trPr>
        <w:tc>
          <w:tcPr>
            <w:tcW w:w="20" w:type="dxa"/>
            <w:vAlign w:val="bottom"/>
          </w:tcPr>
          <w:p>
            <w:pPr>
              <w:spacing w:after="0"/>
              <w:rPr>
                <w:sz w:val="18"/>
                <w:szCs w:val="18"/>
                <w:color w:val="auto"/>
              </w:rPr>
            </w:pPr>
          </w:p>
        </w:tc>
        <w:tc>
          <w:tcPr>
            <w:tcW w:w="3380" w:type="dxa"/>
            <w:vAlign w:val="bottom"/>
          </w:tcPr>
          <w:p>
            <w:pPr>
              <w:spacing w:after="0" w:line="216" w:lineRule="exact"/>
              <w:rPr>
                <w:sz w:val="20"/>
                <w:szCs w:val="20"/>
                <w:color w:val="auto"/>
              </w:rPr>
            </w:pPr>
            <w:r>
              <w:rPr>
                <w:rFonts w:ascii="Arial" w:cs="Arial" w:eastAsia="Arial" w:hAnsi="Arial"/>
                <w:sz w:val="20"/>
                <w:szCs w:val="20"/>
                <w:color w:val="auto"/>
              </w:rPr>
              <w:t>Loss per share – basic and diluted</w:t>
            </w:r>
          </w:p>
        </w:tc>
        <w:tc>
          <w:tcPr>
            <w:tcW w:w="240" w:type="dxa"/>
            <w:vAlign w:val="bottom"/>
            <w:gridSpan w:val="2"/>
          </w:tcPr>
          <w:p>
            <w:pPr>
              <w:jc w:val="right"/>
              <w:spacing w:after="0" w:line="216" w:lineRule="exact"/>
              <w:rPr>
                <w:sz w:val="20"/>
                <w:szCs w:val="20"/>
                <w:color w:val="auto"/>
              </w:rPr>
            </w:pPr>
            <w:r>
              <w:rPr>
                <w:rFonts w:ascii="Arial" w:cs="Arial" w:eastAsia="Arial" w:hAnsi="Arial"/>
                <w:sz w:val="20"/>
                <w:szCs w:val="20"/>
                <w:color w:val="auto"/>
              </w:rPr>
              <w:t>$</w:t>
            </w:r>
          </w:p>
        </w:tc>
        <w:tc>
          <w:tcPr>
            <w:tcW w:w="1060" w:type="dxa"/>
            <w:vAlign w:val="bottom"/>
          </w:tcPr>
          <w:p>
            <w:pPr>
              <w:jc w:val="right"/>
              <w:spacing w:after="0" w:line="216" w:lineRule="exact"/>
              <w:rPr>
                <w:sz w:val="20"/>
                <w:szCs w:val="20"/>
                <w:color w:val="auto"/>
              </w:rPr>
            </w:pPr>
            <w:r>
              <w:rPr>
                <w:rFonts w:ascii="Arial" w:cs="Arial" w:eastAsia="Arial" w:hAnsi="Arial"/>
                <w:sz w:val="20"/>
                <w:szCs w:val="20"/>
                <w:color w:val="auto"/>
              </w:rPr>
              <w:t>(0.27)</w:t>
            </w:r>
          </w:p>
        </w:tc>
        <w:tc>
          <w:tcPr>
            <w:tcW w:w="360" w:type="dxa"/>
            <w:vAlign w:val="bottom"/>
            <w:gridSpan w:val="2"/>
          </w:tcPr>
          <w:p>
            <w:pPr>
              <w:jc w:val="right"/>
              <w:spacing w:after="0" w:line="216" w:lineRule="exact"/>
              <w:rPr>
                <w:sz w:val="20"/>
                <w:szCs w:val="20"/>
                <w:color w:val="auto"/>
              </w:rPr>
            </w:pPr>
            <w:r>
              <w:rPr>
                <w:rFonts w:ascii="Arial" w:cs="Arial" w:eastAsia="Arial" w:hAnsi="Arial"/>
                <w:sz w:val="20"/>
                <w:szCs w:val="20"/>
                <w:color w:val="auto"/>
              </w:rPr>
              <w:t>$</w:t>
            </w:r>
          </w:p>
        </w:tc>
        <w:tc>
          <w:tcPr>
            <w:tcW w:w="1060" w:type="dxa"/>
            <w:vAlign w:val="bottom"/>
          </w:tcPr>
          <w:p>
            <w:pPr>
              <w:jc w:val="right"/>
              <w:spacing w:after="0" w:line="216" w:lineRule="exact"/>
              <w:rPr>
                <w:sz w:val="20"/>
                <w:szCs w:val="20"/>
                <w:color w:val="auto"/>
              </w:rPr>
            </w:pPr>
            <w:r>
              <w:rPr>
                <w:rFonts w:ascii="Arial" w:cs="Arial" w:eastAsia="Arial" w:hAnsi="Arial"/>
                <w:sz w:val="20"/>
                <w:szCs w:val="20"/>
                <w:color w:val="auto"/>
              </w:rPr>
              <w:t>(0.26)</w:t>
            </w:r>
          </w:p>
        </w:tc>
        <w:tc>
          <w:tcPr>
            <w:tcW w:w="340" w:type="dxa"/>
            <w:vAlign w:val="bottom"/>
            <w:gridSpan w:val="2"/>
          </w:tcPr>
          <w:p>
            <w:pPr>
              <w:jc w:val="right"/>
              <w:spacing w:after="0" w:line="216" w:lineRule="exact"/>
              <w:rPr>
                <w:sz w:val="20"/>
                <w:szCs w:val="20"/>
                <w:color w:val="auto"/>
              </w:rPr>
            </w:pPr>
            <w:r>
              <w:rPr>
                <w:rFonts w:ascii="Arial" w:cs="Arial" w:eastAsia="Arial" w:hAnsi="Arial"/>
                <w:sz w:val="20"/>
                <w:szCs w:val="20"/>
                <w:color w:val="auto"/>
              </w:rPr>
              <w:t>$</w:t>
            </w:r>
          </w:p>
        </w:tc>
        <w:tc>
          <w:tcPr>
            <w:tcW w:w="1060" w:type="dxa"/>
            <w:vAlign w:val="bottom"/>
          </w:tcPr>
          <w:p>
            <w:pPr>
              <w:jc w:val="right"/>
              <w:spacing w:after="0" w:line="216" w:lineRule="exact"/>
              <w:rPr>
                <w:sz w:val="20"/>
                <w:szCs w:val="20"/>
                <w:color w:val="auto"/>
              </w:rPr>
            </w:pPr>
            <w:r>
              <w:rPr>
                <w:rFonts w:ascii="Arial" w:cs="Arial" w:eastAsia="Arial" w:hAnsi="Arial"/>
                <w:sz w:val="20"/>
                <w:szCs w:val="20"/>
                <w:color w:val="auto"/>
              </w:rPr>
              <w:t>(0.86)</w:t>
            </w:r>
          </w:p>
        </w:tc>
        <w:tc>
          <w:tcPr>
            <w:tcW w:w="340" w:type="dxa"/>
            <w:vAlign w:val="bottom"/>
            <w:gridSpan w:val="2"/>
          </w:tcPr>
          <w:p>
            <w:pPr>
              <w:jc w:val="right"/>
              <w:spacing w:after="0" w:line="216" w:lineRule="exact"/>
              <w:rPr>
                <w:sz w:val="20"/>
                <w:szCs w:val="20"/>
                <w:color w:val="auto"/>
              </w:rPr>
            </w:pPr>
            <w:r>
              <w:rPr>
                <w:rFonts w:ascii="Arial" w:cs="Arial" w:eastAsia="Arial" w:hAnsi="Arial"/>
                <w:sz w:val="20"/>
                <w:szCs w:val="20"/>
                <w:color w:val="auto"/>
              </w:rPr>
              <w:t>$</w:t>
            </w:r>
          </w:p>
        </w:tc>
        <w:tc>
          <w:tcPr>
            <w:tcW w:w="1060" w:type="dxa"/>
            <w:vAlign w:val="bottom"/>
          </w:tcPr>
          <w:p>
            <w:pPr>
              <w:jc w:val="right"/>
              <w:spacing w:after="0" w:line="216" w:lineRule="exact"/>
              <w:rPr>
                <w:sz w:val="20"/>
                <w:szCs w:val="20"/>
                <w:color w:val="auto"/>
              </w:rPr>
            </w:pPr>
            <w:r>
              <w:rPr>
                <w:rFonts w:ascii="Arial" w:cs="Arial" w:eastAsia="Arial" w:hAnsi="Arial"/>
                <w:sz w:val="20"/>
                <w:szCs w:val="20"/>
                <w:color w:val="auto"/>
              </w:rPr>
              <w:t>(0.71)</w:t>
            </w:r>
          </w:p>
        </w:tc>
      </w:tr>
      <w:tr>
        <w:trPr>
          <w:trHeight w:val="212"/>
        </w:trPr>
        <w:tc>
          <w:tcPr>
            <w:tcW w:w="20" w:type="dxa"/>
            <w:vAlign w:val="bottom"/>
          </w:tcPr>
          <w:p>
            <w:pPr>
              <w:spacing w:after="0"/>
              <w:rPr>
                <w:sz w:val="18"/>
                <w:szCs w:val="18"/>
                <w:color w:val="auto"/>
              </w:rPr>
            </w:pPr>
          </w:p>
        </w:tc>
        <w:tc>
          <w:tcPr>
            <w:tcW w:w="3380" w:type="dxa"/>
            <w:vAlign w:val="bottom"/>
            <w:shd w:val="clear" w:color="auto" w:fill="CCEEFF"/>
          </w:tcPr>
          <w:p>
            <w:pPr>
              <w:spacing w:after="0" w:line="212" w:lineRule="exact"/>
              <w:rPr>
                <w:sz w:val="20"/>
                <w:szCs w:val="20"/>
                <w:color w:val="auto"/>
              </w:rPr>
            </w:pPr>
            <w:r>
              <w:rPr>
                <w:rFonts w:ascii="Arial" w:cs="Arial" w:eastAsia="Arial" w:hAnsi="Arial"/>
                <w:sz w:val="20"/>
                <w:szCs w:val="20"/>
                <w:color w:val="auto"/>
              </w:rPr>
              <w:t>Number of shares used for</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3380" w:type="dxa"/>
            <w:vAlign w:val="bottom"/>
            <w:shd w:val="clear" w:color="auto" w:fill="CCEEFF"/>
          </w:tcPr>
          <w:p>
            <w:pPr>
              <w:ind w:left="120"/>
              <w:spacing w:after="0" w:line="220" w:lineRule="exact"/>
              <w:rPr>
                <w:sz w:val="20"/>
                <w:szCs w:val="20"/>
                <w:color w:val="auto"/>
              </w:rPr>
            </w:pPr>
            <w:r>
              <w:rPr>
                <w:rFonts w:ascii="Arial" w:cs="Arial" w:eastAsia="Arial" w:hAnsi="Arial"/>
                <w:sz w:val="20"/>
                <w:szCs w:val="20"/>
                <w:color w:val="auto"/>
              </w:rPr>
              <w:t>calculation (basic and diluted)</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line="220" w:lineRule="exact"/>
              <w:rPr>
                <w:sz w:val="20"/>
                <w:szCs w:val="20"/>
                <w:color w:val="auto"/>
              </w:rPr>
            </w:pPr>
            <w:r>
              <w:rPr>
                <w:rFonts w:ascii="Arial" w:cs="Arial" w:eastAsia="Arial" w:hAnsi="Arial"/>
                <w:sz w:val="20"/>
                <w:szCs w:val="20"/>
                <w:color w:val="auto"/>
                <w:w w:val="97"/>
              </w:rPr>
              <w:t>19,198,668</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line="220" w:lineRule="exact"/>
              <w:rPr>
                <w:sz w:val="20"/>
                <w:szCs w:val="20"/>
                <w:color w:val="auto"/>
              </w:rPr>
            </w:pPr>
            <w:r>
              <w:rPr>
                <w:rFonts w:ascii="Arial" w:cs="Arial" w:eastAsia="Arial" w:hAnsi="Arial"/>
                <w:sz w:val="20"/>
                <w:szCs w:val="20"/>
                <w:color w:val="auto"/>
                <w:w w:val="97"/>
              </w:rPr>
              <w:t>15,289,477</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line="220" w:lineRule="exact"/>
              <w:rPr>
                <w:sz w:val="20"/>
                <w:szCs w:val="20"/>
                <w:color w:val="auto"/>
              </w:rPr>
            </w:pPr>
            <w:r>
              <w:rPr>
                <w:rFonts w:ascii="Arial" w:cs="Arial" w:eastAsia="Arial" w:hAnsi="Arial"/>
                <w:sz w:val="20"/>
                <w:szCs w:val="20"/>
                <w:color w:val="auto"/>
                <w:w w:val="97"/>
              </w:rPr>
              <w:t>18,759,108</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line="220" w:lineRule="exact"/>
              <w:rPr>
                <w:sz w:val="20"/>
                <w:szCs w:val="20"/>
                <w:color w:val="auto"/>
              </w:rPr>
            </w:pPr>
            <w:r>
              <w:rPr>
                <w:rFonts w:ascii="Arial" w:cs="Arial" w:eastAsia="Arial" w:hAnsi="Arial"/>
                <w:sz w:val="20"/>
                <w:szCs w:val="20"/>
                <w:color w:val="auto"/>
                <w:w w:val="97"/>
              </w:rPr>
              <w:t>15,219,517</w:t>
            </w:r>
          </w:p>
        </w:tc>
      </w:tr>
      <w:tr>
        <w:trPr>
          <w:trHeight w:val="763"/>
        </w:trPr>
        <w:tc>
          <w:tcPr>
            <w:tcW w:w="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o"/>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2021-11-09T05:31:49Z</dcterms:created>
  <dcterms:modified xsi:type="dcterms:W3CDTF">2021-11-09T05:31:49Z</dcterms:modified>
</cp:coreProperties>
</file>