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Evaxion A/S</w:t>
      </w:r>
    </w:p>
    <w:p>
      <w:pPr>
        <w:spacing w:after="0" w:line="1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left="3880" w:right="820" w:hanging="4112"/>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-148590</wp:posOffset>
            </wp:positionH>
            <wp:positionV relativeFrom="paragraph">
              <wp:posOffset>-20955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80"/>
          </w:cols>
          <w:pgMar w:left="560" w:top="543"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On June 12, 2026, Evaxion A/S (the “Company”), a clinical-stage TechBio company specializing in developing AI-Immunology™ powered vaccines, issued a press release titled "Evaxion receives Prix Galien UK Award for Best digital health solution". A copy of the press release is furnished as Exhibit 99.1 to this report on Form 6-K.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140" w:type="dxa"/>
            <w:vAlign w:val="bottom"/>
          </w:tcPr>
          <w:p>
            <w:pPr>
              <w:spacing w:after="0"/>
              <w:rPr>
                <w:sz w:val="17"/>
                <w:szCs w:val="17"/>
                <w:color w:val="auto"/>
              </w:rPr>
            </w:pPr>
          </w:p>
        </w:tc>
        <w:tc>
          <w:tcPr>
            <w:tcW w:w="99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9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Evaxion receives Prix Galien UK Award for Best digital health solution</w:t>
            </w:r>
          </w:p>
        </w:tc>
      </w:tr>
      <w:tr>
        <w:trPr>
          <w:trHeight w:val="247"/>
        </w:trPr>
        <w:tc>
          <w:tcPr>
            <w:tcW w:w="320" w:type="dxa"/>
            <w:vAlign w:val="bottom"/>
            <w:tcBorders>
              <w:top w:val="single" w:sz="8" w:color="0000EE"/>
              <w:bottom w:val="single" w:sz="8" w:color="808080"/>
            </w:tcBorders>
          </w:tcPr>
          <w:p>
            <w:pPr>
              <w:spacing w:after="0"/>
              <w:rPr>
                <w:sz w:val="21"/>
                <w:szCs w:val="21"/>
                <w:color w:val="auto"/>
              </w:rPr>
            </w:pPr>
          </w:p>
        </w:tc>
        <w:tc>
          <w:tcPr>
            <w:tcW w:w="86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40" w:type="dxa"/>
            <w:vAlign w:val="bottom"/>
            <w:tcBorders>
              <w:top w:val="single" w:sz="8" w:color="0000EE"/>
              <w:bottom w:val="single" w:sz="8" w:color="808080"/>
            </w:tcBorders>
          </w:tcPr>
          <w:p>
            <w:pPr>
              <w:spacing w:after="0"/>
              <w:rPr>
                <w:sz w:val="21"/>
                <w:szCs w:val="21"/>
                <w:color w:val="auto"/>
              </w:rPr>
            </w:pPr>
          </w:p>
        </w:tc>
        <w:tc>
          <w:tcPr>
            <w:tcW w:w="4320" w:type="dxa"/>
            <w:vAlign w:val="bottom"/>
            <w:tcBorders>
              <w:top w:val="single" w:sz="8" w:color="0000EE"/>
              <w:bottom w:val="single" w:sz="8" w:color="808080"/>
            </w:tcBorders>
          </w:tcPr>
          <w:p>
            <w:pPr>
              <w:spacing w:after="0"/>
              <w:rPr>
                <w:sz w:val="21"/>
                <w:szCs w:val="21"/>
                <w:color w:val="auto"/>
              </w:rPr>
            </w:pPr>
          </w:p>
        </w:tc>
        <w:tc>
          <w:tcPr>
            <w:tcW w:w="46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Evaxion A/S</w:t>
            </w:r>
          </w:p>
        </w:tc>
        <w:tc>
          <w:tcPr>
            <w:tcW w:w="960" w:type="dxa"/>
            <w:vAlign w:val="bottom"/>
          </w:tcPr>
          <w:p>
            <w:pPr>
              <w:spacing w:after="0"/>
              <w:rPr>
                <w:sz w:val="17"/>
                <w:szCs w:val="17"/>
                <w:color w:val="auto"/>
              </w:rPr>
            </w:pPr>
          </w:p>
        </w:tc>
      </w:tr>
      <w:tr>
        <w:trPr>
          <w:trHeight w:val="237"/>
        </w:trPr>
        <w:tc>
          <w:tcPr>
            <w:tcW w:w="3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0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29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Helen Tayton-Martin</w:t>
            </w:r>
          </w:p>
        </w:tc>
      </w:tr>
      <w:tr>
        <w:trPr>
          <w:trHeight w:val="218"/>
        </w:trPr>
        <w:tc>
          <w:tcPr>
            <w:tcW w:w="3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Helen Tayton-Martin</w:t>
            </w:r>
          </w:p>
        </w:tc>
      </w:tr>
      <w:tr>
        <w:trPr>
          <w:trHeight w:val="234"/>
        </w:trPr>
        <w:tc>
          <w:tcPr>
            <w:tcW w:w="3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Evaxion receives Prix Galien UK Award for Best digital health solution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COPENHAGEN, Denmark, June 12, 2026 - Evaxion A/S (NASDAQ: EVAX) (“Evaxion”), a clinical-stage TechBio company developing novel vaccines with its pioneering AI-Immunology™ platform, has been awarded the 2026 Prix Galien UK Award for Best digital health solution for AI-Immunology™.</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award is another strong external validation and recognition of the AI-Immunology™ platform, which harnesses the power of artificial intelligence to decode the human immune system and develop novel vaccine candidates for cancer and infectious diseases.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award was received by Evaxion CEO Helen-Tayton Martin at the Prix Galien UK Awards ceremony at the Natural History Museum in London. Evaxion and AI-Immunology™ was chosen by a committee of distinguished scientific leaders among 10 candidates.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are honored to receive this distinction, which rewards the unique capabilities of AI-Immunology™ in effective vaccine target discovery, design and development. We are even more proud since this is the second recognition from the Galien Prix Foundation in less than a year. This kind of external validation is a great boost to our efforts to continuously improve AI-Immunology™ and bring forward safe and effective vaccine candidates in cancer and infectious disease,” says Helen Tayton-Martin.</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its evaluation, the jury focused on the innovation demonstrated throughout each candidate’s scientific development, clinical application, and utility. Further consideration was given to the insights it has advanced in biomedical science and the product's tangible impact on human health.</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is not the first time Evaxion has been recognized by the Galien Prix Foundation. In December 2025, we received the award for the Best Medical Technology / AI Advances in the Nordic and high-growth European and Middle Eastern countries.</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Prix Galien Awards were established in 1970 and launched in the UK in 1990 and have been awarded to 62 products since inception. Winners are selected every year by the Prix Galien UK Awards Committee, which comprises 12 experts in the field, and includes a number of the UK's leading luminaries in healthcare. The distinguished panel is guided by the conviction that acknowledging research-driven innovation is key to the improvement of healthcare in the UK and human health, globally.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A/S</w:t>
      </w:r>
    </w:p>
    <w:p>
      <w:pPr>
        <w:spacing w:after="0" w:line="230" w:lineRule="auto"/>
        <w:rPr>
          <w:sz w:val="20"/>
          <w:szCs w:val="20"/>
          <w:color w:val="auto"/>
        </w:rPr>
      </w:pPr>
      <w:r>
        <w:rPr>
          <w:rFonts w:ascii="Times New Roman" w:cs="Times New Roman" w:eastAsia="Times New Roman" w:hAnsi="Times New Roman"/>
          <w:sz w:val="22"/>
          <w:szCs w:val="22"/>
          <w:color w:val="auto"/>
        </w:rPr>
        <w:t>Mads Kronborg</w:t>
      </w:r>
    </w:p>
    <w:p>
      <w:pPr>
        <w:spacing w:after="0" w:line="231" w:lineRule="auto"/>
        <w:rPr>
          <w:sz w:val="20"/>
          <w:szCs w:val="20"/>
          <w:color w:val="auto"/>
        </w:rPr>
      </w:pPr>
      <w:r>
        <w:rPr>
          <w:rFonts w:ascii="Times New Roman" w:cs="Times New Roman" w:eastAsia="Times New Roman" w:hAnsi="Times New Roman"/>
          <w:sz w:val="22"/>
          <w:szCs w:val="22"/>
          <w:color w:val="auto"/>
        </w:rPr>
        <w:t>Vice President, Investor Relations &amp; Communication</w:t>
      </w:r>
    </w:p>
    <w:p>
      <w:pPr>
        <w:spacing w:after="0" w:line="230" w:lineRule="auto"/>
        <w:rPr>
          <w:sz w:val="20"/>
          <w:szCs w:val="20"/>
          <w:color w:val="auto"/>
        </w:rPr>
      </w:pPr>
      <w:r>
        <w:rPr>
          <w:rFonts w:ascii="Times New Roman" w:cs="Times New Roman" w:eastAsia="Times New Roman" w:hAnsi="Times New Roman"/>
          <w:sz w:val="22"/>
          <w:szCs w:val="22"/>
          <w:color w:val="auto"/>
        </w:rPr>
        <w:t>+45 53 54 82 96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mak@evaxion.ai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Evaxion is a pioneering TechBio company based upon its proprietary, clinically validated and scalable AI platform, AI-Immunology™. The platform harnesses the power of artificial intelligence to decode the human immune system and develop novel vaccine candidates for cancer and infectious diseases.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With AI-Immunology™ we conduct rapid, efficient and high-quality target discovery, drug design and development. Our team of +40 experts covers the entire value chain from target discovery to clinical development</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have developed a clinical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about Evaxion, AI-Immunology™ and our pipeline, please visit our website.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a further discussion of these risks,</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please refer to the risk factors included in our most recent Annual Report on Form 20-F and other filings with the US Securities and Exchange Commission (SEC), which are available at </w:t>
      </w:r>
      <w:r>
        <w:rPr>
          <w:rFonts w:ascii="Times New Roman" w:cs="Times New Roman" w:eastAsia="Times New Roman" w:hAnsi="Times New Roman"/>
          <w:sz w:val="22"/>
          <w:szCs w:val="22"/>
          <w:b w:val="1"/>
          <w:bCs w:val="1"/>
          <w:color w:val="auto"/>
        </w:rPr>
        <w:t>www.sec.gov</w:t>
      </w:r>
      <w:r>
        <w:rPr>
          <w:rFonts w:ascii="Times New Roman" w:cs="Times New Roman" w:eastAsia="Times New Roman" w:hAnsi="Times New Roman"/>
          <w:sz w:val="22"/>
          <w:szCs w:val="22"/>
          <w:color w:val="auto"/>
        </w:rPr>
        <w:t>. We do not assume any obligation to update any forward-looking statements except as required by law.</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2026-06-12T05:13:49Z</dcterms:created>
  <dcterms:modified xsi:type="dcterms:W3CDTF">2026-06-12T05:13:49Z</dcterms:modified>
</cp:coreProperties>
</file>