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For the month of July 2026</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001-39950</w:t>
      </w:r>
    </w:p>
    <w:p>
      <w:pPr>
        <w:spacing w:after="0" w:line="20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Evaxion A/S</w:t>
      </w:r>
    </w:p>
    <w:p>
      <w:pPr>
        <w:spacing w:after="0" w:line="1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Dr. Neergaards Vej 5f</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DK-2970 Hoersholm</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Denmark</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88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-148590</wp:posOffset>
            </wp:positionH>
            <wp:positionV relativeFrom="paragraph">
              <wp:posOffset>-20955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80"/>
          </w:cols>
          <w:pgMar w:left="560" w:top="543" w:right="55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1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On July 1, 2026, Evaxion A/S (the “Company”), a clinical-stage TechBio company specializing in developing AI-Immunology™ powered vaccines, issued a press release titled "Evaxion to present new preclinical data for cytomegalovirus vaccine candidate EVX-V1 at the International Herpesvirus Workshop". A copy of the press release is furnished as Exhibit 99.1 to this report on Form 6-K.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Evaxion to present new preclinical data for cytomegalovirus vaccine candidate EVX-V1 at the International Herpesvirus Workshop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Evaxion A/S</w:t>
            </w:r>
          </w:p>
        </w:tc>
        <w:tc>
          <w:tcPr>
            <w:tcW w:w="960" w:type="dxa"/>
            <w:vAlign w:val="bottom"/>
          </w:tcPr>
          <w:p>
            <w:pPr>
              <w:spacing w:after="0"/>
              <w:rPr>
                <w:sz w:val="17"/>
                <w:szCs w:val="17"/>
                <w:color w:val="auto"/>
              </w:rPr>
            </w:pPr>
          </w:p>
        </w:tc>
      </w:tr>
      <w:tr>
        <w:trPr>
          <w:trHeight w:val="237"/>
        </w:trPr>
        <w:tc>
          <w:tcPr>
            <w:tcW w:w="3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29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Tayton-Martin</w:t>
            </w:r>
          </w:p>
        </w:tc>
      </w:tr>
      <w:tr>
        <w:trPr>
          <w:trHeight w:val="218"/>
        </w:trPr>
        <w:tc>
          <w:tcPr>
            <w:tcW w:w="36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Helen Tayton-Martin</w:t>
            </w:r>
          </w:p>
        </w:tc>
      </w:tr>
      <w:tr>
        <w:trPr>
          <w:trHeight w:val="234"/>
        </w:trPr>
        <w:tc>
          <w:tcPr>
            <w:tcW w:w="3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Evaxion to present new preclinical data for cytomegalovirus vaccine candidate EVX-V1 at the International Herpesvirus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Workshop</w:t>
      </w:r>
    </w:p>
    <w:p>
      <w:pPr>
        <w:spacing w:after="0" w:line="17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New preclinical data will guide antigen selection for a broadly protective cytomegalovirus vaccine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Times New Roman" w:cs="Times New Roman" w:eastAsia="Times New Roman" w:hAnsi="Times New Roman"/>
          <w:sz w:val="22"/>
          <w:szCs w:val="22"/>
          <w:b w:val="1"/>
          <w:bCs w:val="1"/>
          <w:color w:val="auto"/>
        </w:rPr>
        <w:t>Poster presentation on July 12, 2026, at the International Herpesvirus Workshop 2026 taking place in Montreal,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COPENHAGEN, Denmark, July 1, 2026 - Evaxion A/S (NASDAQ: EVAX) (“Evaxion”), a clinical-stage TechBio company developing novel vaccines with its pioneering AI-Immunology™ platform, will present new preclinical data for vaccine candidate EVX-V1 in a poster session at the International Herpesvirus Workshop (IHW) 2026 taking place in Montreal, Canada, July 11-15,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EVX-V1 is a next-generation, multi-component cytomegalovirus (CMV) vaccine candidate combining novel AI-discovered antigens with AI-optimized versions of established CMV vaccine antigens.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new preclinical data will guide final antigen selection for a broadly protective CMV vaccine candidate as we progress the program according to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Presentations details: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Abstract title: AI-driven multi-antigen vaccine design to address cytomegalovirus infection, latency, and immune evasion</w:t>
      </w:r>
    </w:p>
    <w:p>
      <w:pPr>
        <w:spacing w:after="0" w:line="230" w:lineRule="auto"/>
        <w:rPr>
          <w:sz w:val="20"/>
          <w:szCs w:val="20"/>
          <w:color w:val="auto"/>
        </w:rPr>
      </w:pPr>
      <w:r>
        <w:rPr>
          <w:rFonts w:ascii="Times New Roman" w:cs="Times New Roman" w:eastAsia="Times New Roman" w:hAnsi="Times New Roman"/>
          <w:sz w:val="22"/>
          <w:szCs w:val="22"/>
          <w:color w:val="auto"/>
        </w:rPr>
        <w:t>Poster#: P2.63</w:t>
      </w:r>
    </w:p>
    <w:p>
      <w:pPr>
        <w:spacing w:after="0" w:line="231" w:lineRule="auto"/>
        <w:rPr>
          <w:sz w:val="20"/>
          <w:szCs w:val="20"/>
          <w:color w:val="auto"/>
        </w:rPr>
      </w:pPr>
      <w:r>
        <w:rPr>
          <w:rFonts w:ascii="Times New Roman" w:cs="Times New Roman" w:eastAsia="Times New Roman" w:hAnsi="Times New Roman"/>
          <w:sz w:val="22"/>
          <w:szCs w:val="22"/>
          <w:color w:val="auto"/>
        </w:rPr>
        <w:t>Session: Poster session 01</w:t>
      </w:r>
    </w:p>
    <w:p>
      <w:pPr>
        <w:spacing w:after="0" w:line="230" w:lineRule="auto"/>
        <w:rPr>
          <w:sz w:val="20"/>
          <w:szCs w:val="20"/>
          <w:color w:val="auto"/>
        </w:rPr>
      </w:pPr>
      <w:r>
        <w:rPr>
          <w:rFonts w:ascii="Times New Roman" w:cs="Times New Roman" w:eastAsia="Times New Roman" w:hAnsi="Times New Roman"/>
          <w:sz w:val="22"/>
          <w:szCs w:val="22"/>
          <w:color w:val="auto"/>
        </w:rPr>
        <w:t>Location: Mont-Royal I/II, Centre Mont-Royal</w:t>
      </w:r>
    </w:p>
    <w:p>
      <w:pPr>
        <w:spacing w:after="0" w:line="231" w:lineRule="auto"/>
        <w:rPr>
          <w:sz w:val="20"/>
          <w:szCs w:val="20"/>
          <w:color w:val="auto"/>
        </w:rPr>
      </w:pPr>
      <w:r>
        <w:rPr>
          <w:rFonts w:ascii="Times New Roman" w:cs="Times New Roman" w:eastAsia="Times New Roman" w:hAnsi="Times New Roman"/>
          <w:sz w:val="22"/>
          <w:szCs w:val="22"/>
          <w:color w:val="auto"/>
        </w:rPr>
        <w:t>Date/Time: July 12, 2026, at 9:30-11:30am ET/15:30-17:30 CET</w:t>
      </w:r>
    </w:p>
    <w:p>
      <w:pPr>
        <w:spacing w:after="0"/>
        <w:rPr>
          <w:sz w:val="20"/>
          <w:szCs w:val="20"/>
          <w:color w:val="auto"/>
        </w:rPr>
      </w:pPr>
      <w:r>
        <w:rPr>
          <w:rFonts w:ascii="Times New Roman" w:cs="Times New Roman" w:eastAsia="Times New Roman" w:hAnsi="Times New Roman"/>
          <w:sz w:val="22"/>
          <w:szCs w:val="22"/>
          <w:color w:val="auto"/>
        </w:rPr>
        <w:t>Presenter: Gry Persson, Senior Project Manager at Evaxion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EVX-V1</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EVX-V1 is a next-generation, multi-component cytomegalovirus (CMV) vaccine candidate combining novel AI-discovered antigens with AI-optimized versions of established CMV vaccine antigens. Through this combination, EVX-V1 attacks the virus from multiple, complementary angles. This broader multi-targeted strategy is expected to strengthen the protective potential of the vaccine.</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 our AI-Immunology™ platform, we have uncovered novel antigens that are entirely new to the CMV vaccine research field. These previously unexplored CMV-antigens induce specific immune responses, inhibit viral infection and reduce cell-to-cell spread in cellular and animal viral infection models.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EVX-V1 is a combination of these antigens with our proprietary AI-optimized pre-fusion glycoprotein B (gB) antigen which has demonstrated superior performance compared to the traditional gB antigen, including enhanced CMV neutralization.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CMV</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About 1 in 200 babies is born with congenital CMV infection. About 1 in 5 babies with the infection will have congenital disabilities or other long-term health problems. CMV infects approximately 60% to 70% of adults in developed countries and nearly 100% in developing economies, driving demand for CMV treatment. Despite decades of research, no CMV vaccine has been approved to date.</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CMV treatment market size was valued at $474.6 million in 2023 and is anticipated to register an annual growth (CAGR) of 6.6% between 2024 and 2032. This growth is propelled by increasing awareness and prevalence of CMV infection and the development of new and effective treatments.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CMV is the most complex of all herpes viruses and is a widespread infection transmitted in body fluids. Once infected, the virus stays for life. People with weakened immune systems, including organ transplant patients, can develop severe symptoms affecting, for example, eyes, lungs, and liver, and congenitally infected babies may suffer from intellectual disability and loss of vision and hearing.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Evaxion A/S</w:t>
      </w:r>
    </w:p>
    <w:p>
      <w:pPr>
        <w:spacing w:after="0" w:line="230" w:lineRule="auto"/>
        <w:rPr>
          <w:sz w:val="20"/>
          <w:szCs w:val="20"/>
          <w:color w:val="auto"/>
        </w:rPr>
      </w:pPr>
      <w:r>
        <w:rPr>
          <w:rFonts w:ascii="Times New Roman" w:cs="Times New Roman" w:eastAsia="Times New Roman" w:hAnsi="Times New Roman"/>
          <w:sz w:val="22"/>
          <w:szCs w:val="22"/>
          <w:color w:val="auto"/>
        </w:rPr>
        <w:t>Mads Kronborg</w:t>
      </w:r>
    </w:p>
    <w:p>
      <w:pPr>
        <w:spacing w:after="0" w:line="231" w:lineRule="auto"/>
        <w:rPr>
          <w:sz w:val="20"/>
          <w:szCs w:val="20"/>
          <w:color w:val="auto"/>
        </w:rPr>
      </w:pPr>
      <w:r>
        <w:rPr>
          <w:rFonts w:ascii="Times New Roman" w:cs="Times New Roman" w:eastAsia="Times New Roman" w:hAnsi="Times New Roman"/>
          <w:sz w:val="22"/>
          <w:szCs w:val="22"/>
          <w:color w:val="auto"/>
        </w:rPr>
        <w:t>Vice President, Investor Relations &amp; Communication</w:t>
      </w:r>
    </w:p>
    <w:p>
      <w:pPr>
        <w:spacing w:after="0" w:line="230" w:lineRule="auto"/>
        <w:rPr>
          <w:sz w:val="20"/>
          <w:szCs w:val="20"/>
          <w:color w:val="auto"/>
        </w:rPr>
      </w:pPr>
      <w:r>
        <w:rPr>
          <w:rFonts w:ascii="Times New Roman" w:cs="Times New Roman" w:eastAsia="Times New Roman" w:hAnsi="Times New Roman"/>
          <w:sz w:val="22"/>
          <w:szCs w:val="22"/>
          <w:color w:val="auto"/>
        </w:rPr>
        <w:t>+45 53 54 82 96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mak@evaxion.ai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Evaxion</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sectPr>
          <w:pgSz w:w="11900" w:h="16838" w:orient="portrait"/>
          <w:cols w:equalWidth="0" w:num="1">
            <w:col w:w="11240"/>
          </w:cols>
          <w:pgMar w:left="320" w:top="108" w:right="339" w:bottom="22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2"/>
          <w:szCs w:val="22"/>
          <w:color w:val="auto"/>
        </w:rPr>
        <w:t>With AI-Immunology™ we conduct rapid, efficient and high-quality target discovery, drug design and development. Our team of +40 experts covers the entire value chain from target discovery to clinical development</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Evaxion, AI-Immunology™ and our pipeline, please visit our website.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rFonts w:ascii="Times New Roman" w:cs="Times New Roman" w:eastAsia="Times New Roman" w:hAnsi="Times New Roman"/>
          <w:sz w:val="22"/>
          <w:szCs w:val="22"/>
          <w:b w:val="1"/>
          <w:bCs w:val="1"/>
          <w:color w:val="auto"/>
        </w:rPr>
        <w:t>www.sec.gov</w:t>
      </w:r>
      <w:r>
        <w:rPr>
          <w:rFonts w:ascii="Times New Roman" w:cs="Times New Roman" w:eastAsia="Times New Roman" w:hAnsi="Times New Roman"/>
          <w:sz w:val="22"/>
          <w:szCs w:val="22"/>
          <w:color w:val="auto"/>
        </w:rPr>
        <w:t>. We do not assume any obligation to update any forward-looking statements except as required by law.</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2026-07-01T07:06:31Z</dcterms:created>
  <dcterms:modified xsi:type="dcterms:W3CDTF">2026-07-01T07:06:31Z</dcterms:modified>
</cp:coreProperties>
</file>